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CellSpacing w:w="0" w:type="dxa"/>
        <w:tblInd w:w="0" w:type="dxa"/>
        <w:shd w:val="clear" w:color="auto" w:fill="FFFFFF"/>
        <w:tblLayout w:type="autofit"/>
        <w:tblCellMar>
          <w:top w:w="75" w:type="dxa"/>
          <w:left w:w="75" w:type="dxa"/>
          <w:bottom w:w="75" w:type="dxa"/>
          <w:right w:w="75" w:type="dxa"/>
        </w:tblCellMar>
      </w:tblPr>
      <w:tblGrid>
        <w:gridCol w:w="8456"/>
      </w:tblGrid>
      <w:tr>
        <w:tblPrEx>
          <w:shd w:val="clear" w:color="auto" w:fill="FFFFFF"/>
          <w:tblCellMar>
            <w:top w:w="75" w:type="dxa"/>
            <w:left w:w="75" w:type="dxa"/>
            <w:bottom w:w="75" w:type="dxa"/>
            <w:right w:w="75" w:type="dxa"/>
          </w:tblCellMar>
        </w:tblPrEx>
        <w:trPr>
          <w:trHeight w:val="750" w:hRule="atLeast"/>
          <w:tblCellSpacing w:w="0" w:type="dxa"/>
        </w:trPr>
        <w:tc>
          <w:tcPr>
            <w:tcW w:w="11430" w:type="dxa"/>
            <w:shd w:val="clear" w:color="auto" w:fill="FFFFFF"/>
            <w:vAlign w:val="center"/>
          </w:tcPr>
          <w:p>
            <w:pPr>
              <w:widowControl/>
              <w:wordWrap w:val="0"/>
              <w:spacing w:line="420" w:lineRule="atLeast"/>
              <w:jc w:val="center"/>
              <w:rPr>
                <w:rFonts w:ascii="黑体" w:hAnsi="黑体" w:eastAsia="黑体" w:cs="宋体"/>
                <w:color w:val="000066"/>
                <w:spacing w:val="24"/>
                <w:kern w:val="0"/>
                <w:sz w:val="30"/>
                <w:szCs w:val="30"/>
              </w:rPr>
            </w:pPr>
            <w:r>
              <w:rPr>
                <w:rFonts w:hint="eastAsia" w:ascii="黑体" w:hAnsi="黑体" w:eastAsia="黑体" w:cs="宋体"/>
                <w:color w:val="000066"/>
                <w:spacing w:val="24"/>
                <w:kern w:val="0"/>
                <w:sz w:val="48"/>
                <w:szCs w:val="48"/>
              </w:rPr>
              <w:t>私营企业雇工劳动合同书</w:t>
            </w:r>
          </w:p>
        </w:tc>
      </w:tr>
      <w:tr>
        <w:tblPrEx>
          <w:shd w:val="clear" w:color="auto" w:fill="FFFFFF"/>
          <w:tblCellMar>
            <w:top w:w="75" w:type="dxa"/>
            <w:left w:w="75" w:type="dxa"/>
            <w:bottom w:w="75" w:type="dxa"/>
            <w:right w:w="75" w:type="dxa"/>
          </w:tblCellMar>
        </w:tblPrEx>
        <w:trPr>
          <w:tblCellSpacing w:w="0" w:type="dxa"/>
        </w:trPr>
        <w:tc>
          <w:tcPr>
            <w:tcW w:w="0" w:type="auto"/>
            <w:shd w:val="clear" w:color="auto" w:fill="FFFFFF"/>
            <w:vAlign w:val="center"/>
          </w:tcPr>
          <w:p>
            <w:pPr>
              <w:widowControl/>
              <w:wordWrap w:val="0"/>
              <w:spacing w:line="420" w:lineRule="atLeast"/>
              <w:jc w:val="left"/>
              <w:rPr>
                <w:rFonts w:ascii="宋体" w:hAnsi="宋体" w:eastAsia="宋体" w:cs="宋体"/>
                <w:color w:val="333333"/>
                <w:kern w:val="0"/>
                <w:sz w:val="18"/>
                <w:szCs w:val="18"/>
              </w:rPr>
            </w:pPr>
          </w:p>
        </w:tc>
      </w:tr>
    </w:tbl>
    <w:p>
      <w:pPr>
        <w:widowControl/>
        <w:shd w:val="clear" w:color="auto" w:fill="FFFFFF"/>
        <w:spacing w:before="100" w:beforeAutospacing="1" w:after="100" w:afterAutospacing="1" w:line="42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甲方：</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乙方：</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甲方（雇用单位）</w:t>
      </w:r>
      <w:bookmarkStart w:id="0" w:name="_GoBack"/>
      <w:bookmarkEnd w:id="0"/>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法定代表人</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地址：</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乙方（受雇职工）</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性别：</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出生日期　　年　　月　日（或委托代理人居民身份证号码）</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邮政编码</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家庭住址</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所属省（直辖市）地区</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县（街道办事处）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color w:val="333333"/>
          <w:kern w:val="0"/>
          <w:sz w:val="24"/>
          <w:szCs w:val="28"/>
        </w:rPr>
        <w:t>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文化程度</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color w:val="333333"/>
          <w:kern w:val="0"/>
          <w:sz w:val="24"/>
          <w:szCs w:val="28"/>
        </w:rPr>
        <w:t>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根据《中华人民共和国劳动法》，甲乙双方经平等协商同意，自愿签订本合同，共同遵守本合同所列条款。</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一、劳动合同期限</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第一条本合同期限类型为　　期限合同（固定期限或以完成一定的工作期限）本合同生效日期年　月　日，其中试用期　　月。本合同至　　　　终止。</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二、工作内容</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第二条乙方同意在甲方从事　　　　　　　　　　　　工作。</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第三条甲方对乙方的劳动质量和数量要求是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三、劳动报酬</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第四条甲方每月　　日以货币形式支付乙方工资，工资不低于　　　元，其中试用期间工资为　　元。</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四、劳动保护和劳动条件</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五条甲方安排乙方每日工作时间不超过8小时，每周不超过40小时，甲方保证乙方每周至少休息一日，因工作需要处长工作时间的，经征得乙方同意，在保障乙身体健康的条件下延长工作时间每日不得超过3小时，每月不得超过36小时。</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第六条甲方安排乙方加班加点的，甲方应依法支付加班加点工作，按以下标准支付工资；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1、在日法定标准工作时间以外延长工作时间的，按照乙方小时工资标准的150%支付工资；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2、在休息日工作，按照乙方日或小时工资标准的200%支付工资；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3、在法定休假节目工作的，应另外支付乙方日或小时工资标准300%的工资。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第七条甲方执行国家有关劳动保护的法规、规章，为乙提供劳动安全和卫生设施。根据从事工种的需要发给乙方劳动保护用品和配置生产、工作必需的劳动工具。</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五、保险福利待遇</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第八条甲乙双方应按国家和北京市社会保险的有关规定缴纳各项社会保险费。</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第九条乙方患职业病或因工负伤的工资和医疗保险待遇按国家和北京市有关规定执行。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第十条乙方患病或非因工负伤的医疗期按照国家和北京市有关规定执行。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第十一条在国家和北京市职工工作保险规定未出台前甲方负责为乙方办理人身意外伤害保险，保险期限由甲方按照双方签订的劳动合同期限确定，保险金额为　　　　　　　　元。</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六、劳动纪律</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第十二条乙应遵守的劳动纪律是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七、劳动合同的变更、解除、终止、续订</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第十三条订立本合同所依据的法律、行政法规、规章发生变化，本合同应变更相关内容。</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第十四条订立本合同所依据的客观情况发生重大变化，致命本合同无法履行的，经甲乙双方协商同意，可以变更本合同相关内容。</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第十五条乙方有下列情形之一，甲方可以解除本合同：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1、试用期间，被证明不符合录用条件的；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2、严重违反劳动纪律或甲方规章制度的；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3、严重失职、营私舞弊，对甲方利益造成重大损害的；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4、被依法追究刑事责任的。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第十六条下列情形之一，甲方可以解除合同，但应提前三十日以局面形式通知乙方：</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1、乙方患病或非因工负伤，医疗期满后，不能从事原工作了不能从事由甲方另行安排的工作的；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2、乙方劳动未达到劳动合同规定的质量和数量的，经过培训或调整工作岗位，仍不能胜任工作的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3、甲乙双方不能依据本合同第十四条，就变更合同达成协议的；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第十七条合同双方当事人协商一致，解除劳动合同。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第十八条乙解除本合同，应当提前三十日以局面形式通知甲方。</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第十九条下列情形之一，乙方可以随时通知甲方解除本合同：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1、在试用期内的；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2、甲方以暴力、威胁、监禁或非法限制人身自由的手段强迫劳动的；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3、甲方不能按照本合同规定支付劳动报酬或提供劳动条件的。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第二十条乙方有下列情形之一，甲方不得依据本合同第十六条解除终止本合同：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1、患病或非因工负伤在规定的医疗期内的；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2、女职工在孕期、产期、哺乳期的；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3、患职业病或因工负伤并被确认丧失或者部分丧失劳动能力的；</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第二十一条劳动合同期满，劳动合同即行终止。</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八、经济补偿与赔偿</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第二十二条下列情形之一，甲方违反合同约定条件或解除乙方劳动合同的，应按下列标准支付乙方经济补偿金：</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1、甲克扣或者无帮拖欠乙方工资的，以及拒不支付乙方延长工作时间工资报酬的，除在规定时间内全额支付乙方工资报酬外，还需加发相当于工资报酬百分之二十五的经济补偿金；</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2、甲方支付乙方的工资报酬低于本市最低工资标准的，要在补足低于标准部分的同时，另外支付相当于低于部分百分之二十五的经济补偿金。</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二十三条以与乙方协商一致甲方解除本合同或由方按本合同第十六条规定解除乙劳动合同的，甲方按乙方在甲主的工作年限，每满一年支付相当乙主一个月工资的经济补偿金，最多不超过十二个月，乙方在甲方工作时间不满一年的按一年的标准支付经济补偿金。</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第二十四条乙方因患病或非因工负伤而解除合同的甲方应发给不低乙方六个月工资的医疗补助费；患重病的加发50%的医疗补助费，患绝症的加发100%的医疗补助费。</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第二十五条甲方违反本合同约定的条件解除劳动合同或由于甲方原因订立无效劳动合同给乙方造成损害的，应按劳动部《违反（劳动法）有关劳动合同规定的赔偿办法》赔偿乙方损失。</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第二十六条乙方违反本合同约定的条件解除劳动合同或违反本合同约定的保守商业秘密事项，给甲方造成损失的，乙方应按劳动部《违反（劳动法）有关劳动合同规定的赔偿办法》赔偿甲方损失。</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第二十七条乙方解除本合同的，凡由甲方出资培训和招接收的人员，应向甲方偿会培训费和招接收费。其标准为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十、劳动争议处理</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第二十条因履行本合同发生的劳动争议，当事人一方要求仲裁的，应当自劳动争议发生之日起六十日内向　　　　　　　　劳动争议仲裁委员会申请仲裁，对裁决不服的，可以向人民法院提起诉讼。</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十一、其他</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第二十九条本合同未尽事宜或与今后国家、北京市有关规定相悖的，按有关规定执行。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第三十条本合同书一式两份，甲、乙双方各一份。</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甲方（盖章）乙方（签章）</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法定代表人或委托代理人（盖章）</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color w:val="333333"/>
          <w:kern w:val="0"/>
          <w:sz w:val="24"/>
          <w:szCs w:val="28"/>
        </w:rPr>
        <w:t>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签订日期年月日鉴证机关（盖章）</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鉴证员（签章）</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鉴证日期年月日</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使用说明</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一、本合同书可做为企业与职工签订劳动合同之用。</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二、企业与职工利用本合同书签订劳动合同时，凡需要双方协商的，经协商一致后填写在空格内；需要告知的事项，在空栏内填写清楚告辞乙方。</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三、本合同中甲应加盖公章；法定代表人或委托代理人应本人签字或盖章；乙方姓名、出生日期等应同身份证一致，不得有误。</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四、本合同设定的条款不适用的，经甲、乙双方协商一致后，在本合同书“九、当事人约定的其他内容”一栏中写明：“下列条款双方协商一致同意取消”，列出某条某款即可。经双方当事人协商需增加的条款，也在本栏中写明“经双方当事人协商一致同意增加以下条款”，并在下面逐条写清。</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五、本合同用钢笔填写，字迹清楚，文字简练、准确。本合同一经签订，不得涂改。</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六、当事人约定的其他内容、劳动合同变更书及续订书在本合同内填写不下时，可加附纸。</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七、本合同一式两份，甲、乙各一份，交乙方的不得由甲方代为保管</w:t>
      </w:r>
    </w:p>
    <w:p>
      <w:pPr>
        <w:rPr>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4259"/>
    <w:rsid w:val="00A773CD"/>
    <w:rsid w:val="00C44259"/>
    <w:rsid w:val="7EB01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character" w:customStyle="1" w:styleId="9">
    <w:name w:val="apple-converted-space"/>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472</Words>
  <Characters>2691</Characters>
  <Lines>22</Lines>
  <Paragraphs>6</Paragraphs>
  <TotalTime>2</TotalTime>
  <ScaleCrop>false</ScaleCrop>
  <LinksUpToDate>false</LinksUpToDate>
  <CharactersWithSpaces>3157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2012-04-01T05:08:00Z</dcterms:created>
  <dc:creator>mayn</dc:creator>
  <cp:lastModifiedBy>XXX</cp:lastModifiedBy>
  <dcterms:modified xsi:type="dcterms:W3CDTF">2020-08-19T08:41:43Z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