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eastAsia" w:eastAsia="宋体"/>
          <w:b/>
          <w:bCs/>
          <w:sz w:val="48"/>
          <w:szCs w:val="48"/>
          <w:lang w:val="en-US" w:eastAsia="zh-CN"/>
        </w:rPr>
      </w:pPr>
      <w:r>
        <w:rPr>
          <w:rFonts w:hint="eastAsia"/>
          <w:b/>
          <w:bCs/>
          <w:sz w:val="48"/>
          <w:szCs w:val="48"/>
        </w:rPr>
        <w:t>长期购销合同</w:t>
      </w:r>
      <w:r>
        <w:rPr>
          <w:rFonts w:hint="eastAsia"/>
          <w:b/>
          <w:bCs/>
          <w:sz w:val="48"/>
          <w:szCs w:val="48"/>
          <w:lang w:val="en-US" w:eastAsia="zh-CN"/>
        </w:rPr>
        <w:t>书</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乙方：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一：本合同由甲、乙双方共同协商，并根据以下各项条款达成一致而签订。</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二：质量保证：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1。袋形：整包不变形，置于水平面无失重。袋形要端正、饱满及自然的效果。袋口，袋底不歪扭，肩带、手挽左右横头均要对称。</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2。口肩带：袋口拉链要顺滑，拉链贴和，链布不可有波浪或超皱现象。肩带要挺且有弹性，软硬适中。</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3。大面：根据皮料厚薄或软硬程度选择托料，要求手感软硬适中，有弹性；皮面光滑无波浪，无划损，无污损，整袋皮料无色差，花纹和光度无差异。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4。驳位：不可过厚、过薄或凸凹不平。或驳位不严密不能歪斜，或有爆裂现象。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5。油边：要求边油不上过，边面圆滑，无脱落破损。以指甲轻扣无痕为宜，视季节不同选用软硬度或中性边油。</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6。车线：前车，高车和柱车面线的针距和纸口均要统一，针距为1寸7。5针，车线不能疏密，松线跳针，起珠，起浪起皱等现象。直线不弯曲，弯线转角要顺畅。接针位无复针，加固复针时针孔确保线条流畅。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7。内里：不可有吊空，太松抽纱等现象，底和袋角要到位，内窗口车线和摺边均要达到直线要求。笔插和手机套等易损部位均要复针加固。内窗口拉链无波浪无起皱现象。拉链顺畅。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8。五金：唛头等五金不可有歪斜，划花和生锈现象，所有五金均不能沾染胶水切忌变色或褪色，不合格的五金严禁使用。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9。包装：检查每个包的质量如发现有问题的及时返工维修。并仔细检验易损部位是否绳索实，对胶水线头，银笔线和灰尘等必须处理干净。</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三：交货地点：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四：交货时间：</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五：验收标准、方法及提出异议的期限： 按厂家提供的质量标准在交货当日内验收。验收合格后七日内，如产品有质量问题，供方予以调换。</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六：结算方式：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1、合同付款货币为人民币，总额为 元整。</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2、乙方应按照双方签订的合同规定交货，交货前甲方应把下列单据提交给乙方。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3、乙方确认样板之后做货必须交付30%订金、賖下70%货款乙方于收货付清上述货款。</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4、验收合格后当日内付清全款，付款方式为电汇。</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七：不可抗力：是指不可预见、不能避免、不能克服的自然灾害。</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八：违约责任：</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 在履行合同过程中，如果任一方遇到可能妨碍按时付款、交货和提供服务的情况时，应在情况发生前后。</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 天内以书面形式将拖延的事实，可能拖延的期限和理由通知对方。对方在收到通知后，应尽快对情况进行评价，并确定是否通过修改合同，酌情延长交货、付款时间。</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 除合同条件第八条规定外，无责方可要求违约方赔偿，赔偿费按货物总价以每天的千分之三计收，直至交货或付款为止。误期赔偿费的最高限额不超过误期货物或服务合同价的百分之五。一旦达到误期赔偿的最高限额，无责方有权解除合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九：仲裁：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 与合同有关的一切争议或合同的实施应通过洽谈友好解决。如达不成协议，争议可提交仲裁委员会，仲裁裁决为终局，对当事双方有约束力。仲裁费由败诉方承担。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 本合同一式两份，经双方代表签字盖章后生效。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 本合同为打印件，手工改写无效。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甲方(公章)：_________ 乙方(公章)：_________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法定代表人(签字)：_________ 法定代表人(签字)：_________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_________年____月____日 _________年____月____日</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购销合同范本大全【范本五】：常用的购销合同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甲方(需方)： 法定代表人： 甲方公司地址： 甲方施工地址：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乙方(供方)： 法定代表人： 乙方公司地址：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根据《中华人民共和国合同法》及其他有关法律法规，遵循平等自愿、公正和诚实信用的原则，双方就建设材料购买事项协商一致，订立本合同。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一、产品的名称规格单价数量及其它： 编号产品或 原材料名称规格型号单位单价 (张/元)需量备注 合计金额：（人民币大写）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模板按样品收货，整板在自然正常使用的情况下（备注：参照所提供的模板使用说明资料使用，产品合格率为95%）若出现质量问题如大面积开胶起层包调包换，有一张换一张。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二、乙方供应产品或原材料必须满足：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1、达到四川省相应的质检验收标准；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2、按照甲方所需要的规格品牌商标（产地）和数量及时供应；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3、有产品合格证明书或相关文件。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三、供货时间、运输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1、甲方应提前二天将供货计划告知乙方，乙方得到计划后应在甲方计划二天内供货。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2、由乙方负责货物的装车运输，并运至指定地点：到工地由甲方负责卸货。货物到达指定地点后，甲方及时派收货员对货物的数量进行验收，并在送货单上签字确认，作为双方结算的最终依据。（结算以实际送货数量为准。）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四、货款支付方式和时间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计算货款方式及付款约定：货到工地一个月后7个工作日内付清此次货款。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五、甲方的违约责任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1、甲方中途退货，应向乙方偿付退货部分货款1%的违约金。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2、甲方逾期付款的，应按中国人民银行有关延期付款的规定向乙方偿付逾期付款的违约金。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3、甲方违反合同规定拒绝接货的，应当承担由此造成的损失和运输部门的罚款。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4、甲方如错填到货地点或接货人，或对乙方提出错误异议，应承担乙方因此所受的损失。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六、乙方的违约责任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1、乙方不能交货的，应向甲方偿付不能交货部分货款的2%的违约金。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2、乙方所交产品品种、规格、质量不符合规定的，如果甲方同意利用，应当按质论价；如果甲方不能利用的，应根据产品的具体情况，由乙方负责包换并承担退货而支付的实际费用。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3、乙方逾期交货的，应比照中国人民银行有关延期付款的规定，按逾期交货部分货款计算，向甲方偿付逾期交货的违约金，并承担甲方因此所受的损失费用。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七、不可抗力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八、其它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按本合同规定应该偿付的违约金和各种经济损失的，应当在明确责任后10天内，按银行规定的结算办法付清，否则按逾期付款处理。但任何一方不得自行扣发货物或扣付货款来充抵。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本合同如发生纠纷，当事人双方应当及时协商解决，协商不成时，任何一方均可请业务主管机关调解或者向仲裁委员会申请仲裁，也可以直接向人民法院起诉。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九、本合同一式二份，供方一份，需方一份。本合同双方签字或盖章后生效，货款结清后此合同终止。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需方（公章） 供方（公章）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法定代表人 法定代表人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或其委托代理人： 或其委托代理人： </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textAlignment w:val="auto"/>
      </w:pPr>
      <w:r>
        <w:rPr>
          <w:rFonts w:hint="eastAsia"/>
        </w:rPr>
        <w:t>　　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26075"/>
    <w:rsid w:val="64826075"/>
    <w:rsid w:val="7A3E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2020-09-09T10:11:00Z</dcterms:created>
  <dc:creator>XXX</dc:creator>
  <cp:lastModifiedBy>XXX</cp:lastModifiedBy>
  <dcterms:modified xsi:type="dcterms:W3CDTF">2020-09-10T10:13:52Z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