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jc w:val="center"/>
        <w:textAlignment w:val="auto"/>
        <w:rPr>
          <w:rFonts w:hint="eastAsia"/>
          <w:b/>
          <w:bCs/>
          <w:sz w:val="48"/>
          <w:szCs w:val="48"/>
        </w:rPr>
      </w:pPr>
      <w:r>
        <w:rPr>
          <w:rFonts w:hint="eastAsia"/>
          <w:b/>
          <w:bCs/>
          <w:sz w:val="48"/>
          <w:szCs w:val="48"/>
        </w:rPr>
        <w:t>百货、纺织品商品购销总合同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总合同号：　字第　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供方：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需方：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第一条　为切实贯彻执行经济合同法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第二条　合同签订后，双方须严肃履行。如一方确因发生《经济合同法》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按需方指定花色、品种、规格生产的商品，在安排生产后，双方都需要严格执行合同，一般不予变更。如需变更，由此而产生的损失，由需方负担；如供方不能按期、按质、按量、按指定要求履行合同，其损失由供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第三条　购销合同的商品价格，必须遵守国家有关物价管理的规定。有些商品双方亦可协商优惠办法或协商订价。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签订合同，成交商品的作价标准，均为正品价。对于副品、等级品，其差幅按照扣率惯例作价执行合同；对于暂定价（参考价）商品，允许上下差幅在１０％－１５％以内执行（差率在具体合同中规定），合同中有规格差价的按照中档（等）作单价成交，实际发货时按规格分别作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在合同规定的交（提）货期限内，如遇国家或地方行政部门调整价格，要以书面通知需方，以便作为交货时（指运出）作价依据。</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逾期交货的，如遇价格上调时，按原价执行；遇价格下调时，按新价执行。逾期提货的，遇价格上调时，按新价执行，遇价格下调时，按原价执行。由于调整价格而发生的差价，购销双方另行算。</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第四条　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第五条　商品质量，有国家标准或专业标准的，按国家标准或专业标准执行；无上述标准的，按生产厂的企业标准执行；无生产厂企业标准的，由双方协商确定。供方应认真检验，严格把关，以保证商品质量。</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如果商品质量不符合标准，一般情况应允许退货。如属特殊情况，供需双方可协调解决。</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第六条　商品包装必须牢固，供方应保障商品在运输途中的安全。需方对商品包装有特殊要求，双方应在具体合同中注明，增加的包装费用由需方负担。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第七条　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供方供应商品，除双方另有约定者外，异地的，由供方代办托运。如需方要自提，应持加盖财务印章的自提证明，提货费用由需方自理；同城的，除工厂直送部分外，均由需方在货款算后七天内自提（遇节假日顺延），超期未提部分，由需方负责仓储费用。</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受交通运输影响造成延期或需方要求暂缓发货不超过三十天的，不作迟延履行合同处理。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第八条　对有有效期限的商品，其有效期尚存三分之二以上的，供方可以发货，有效期尚存三分之二以下的，供方应征得需方同意后才能发货。</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第九条　供方应按双方商定的合理运输路线、工具、到达站（港），委托承运单位发运货物，力求装足容量或吨位，从节约费用。</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如一方需要变更运输路线、工具、到达站（港）时，应及时通知对方，并进行协商，取得一致意见后，再办理发运。协商达成一致意见前，仍然按原合同执行。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需方提出改变运输路线、工具、到达站（港），因此增加的费用由需方负担，如确有特殊情况由双方协商解决。供方改变运输路线、工具、到达站（港），未经需方同意的，因此增加的费用应由供方负担。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第十条　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若因有关单据未能随货同行，货到后，需方应先向承运部门具接收，同是立即通知供方，供方在接到通知后十五日内答复；属于多发、错（串）运商品，需方不得自行动用，并做好详细记录，妥为保管，收货后十日内通知供方，因此发生的一切费用由供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由供方委托承运单位发运的商品，均应向人民保险公司投保综合运输险。商品在运输途中遭受损失时，由需方向当地保险公司按照《国内水路、铁路货物运输保险条款（试行）》所规定的手续程序及期限申请办理索赔。</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第十一条　商品外包装完整，拆包发现溢缺、残损、串错和商品质量等问题，需方应在货到九十天内（单个商品价值在２千元以上的在十五天内），向供方提出查询；发现商品霉烂变质，应在收到货物后三十天内通知供方。逾期均视为验收无误。</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接收进口商品和外贸库存转内销的商品，因关系到外贸查询，查询期为需方收货后的六十天，逾期供方可不受理。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第十二条　商品货款、运杂费、保险费等款项的算，按中国人民银行有关算办法的规定办理。货款算实行验单付款。需方无理拒付、逾期付款、拖欠货款的，应按有关银行部门规定交纳滞纳金，并由开户行连同货款划给供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需方变更开户银行、帐户名称和帐号，应于合同规定的交货期限前三十天以书面（或电报）通知供方。未按期通知或通知有错误而影响算的，需方应负逾期付款的责任。</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经供、需双方商定，货款算除另有书面特殊规定外，采用以下第 种方式（１．托收承付＜可另行订货款算协议书＞；２．款到发货；３．银行汇票；４．商业汇票。）</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第十三条　一方违反合同应负违约责任，向对方支付违约金。由于违约给对方造成的损失超过违约金的，还应进行赔偿，补偿违约金不足部分。对方要求继续履行合同的，应继续履行。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１．供方不能履行合同的，应向需方偿付违约金。一般商品的违约金为不能交货部分货款总值的　％（在１％－５％之间确定），但需方有特定要求的商品的违约金为货款总值的 ％（10％－30％之间确定）。</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２。供方逾期交货，按照中国人民银行有关延期付款的规定、按逾期交货部分货款总值计算，向需方偿付逾期交货的违约金。</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３。供方提前交货或多交、错发货而造成的需方在代保管期内实际支付的费用，应由供方负担。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４。需方未经供方同意擅自退货的，应向供方偿付违约金。一般商品的违约金为退货部分货款总值的　％（在１％－５％之间确定）；有特定要求的商品的违约金，为退货部分货款总值的 ％（在</w:t>
      </w:r>
      <w:r>
        <w:rPr>
          <w:rFonts w:hint="eastAsia"/>
          <w:lang w:val="en-US" w:eastAsia="zh-CN"/>
        </w:rPr>
        <w:t>10</w:t>
      </w:r>
      <w:r>
        <w:rPr>
          <w:rFonts w:hint="eastAsia"/>
        </w:rPr>
        <w:t>％－</w:t>
      </w:r>
      <w:r>
        <w:rPr>
          <w:rFonts w:hint="eastAsia"/>
          <w:lang w:val="en-US" w:eastAsia="zh-CN"/>
        </w:rPr>
        <w:t>30</w:t>
      </w:r>
      <w:bookmarkStart w:id="0" w:name="_GoBack"/>
      <w:bookmarkEnd w:id="0"/>
      <w:r>
        <w:rPr>
          <w:rFonts w:hint="eastAsia"/>
        </w:rPr>
        <w:t>％之间确定）。退货途中的运输等费用，由需方负担。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５。需方逾期提货、逾期付款的，按照中国人民银行有关延期付款的规定，按逾期提货、逾期付款部分货款总值计算，向供方偿付逾期提货、逾期付款的违约金。</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６。需方承担因提供给供方的到货地点或接货人等有误而造成的一切损失；承担供方或运输部门因处理需方提出的错误异议而支付的一切费用；承担代供方保管的商品保管不善所造成的损失。</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违约金、赔偿金、保管费用应在明确责任后十天内偿付，否则按逾期付款处理。任何一方不得自行用扣发货物或拒付货款来充抵。</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第十五条　本总合同一式两份，双方各执一份。</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第十六条　本总合同经双方法定代表人或其委托代理人签字并加盖公章或合同章后生效。有效期限为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本总合同及其附件凡涉及日期的，按收件人签收日期和邮局戳记日期为准。时间期限的计算均包括本数在内。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具体商品购销分合同，一般以一货一单格式（见附件１、２），有特殊要求的可用自制格式。 一九 年 月 日</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供方盖章 需方盖章</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法定代表人或委托代理人签字 法定代表人或委托代理人签字</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开户银行： 开户银行：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帐号： 帐号：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地址： 地址：</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邮政编码： 邮政编码：</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电报挂号： 电报挂号：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电话： 电话：</w:t>
      </w:r>
    </w:p>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26CF9"/>
    <w:rsid w:val="4D426CF9"/>
    <w:rsid w:val="65785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2020-09-14T03:33:00Z</dcterms:created>
  <dc:creator>XXX</dc:creator>
  <cp:lastModifiedBy>XXX</cp:lastModifiedBy>
  <dcterms:modified xsi:type="dcterms:W3CDTF">2020-09-15T01:42:51Z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