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78" w:rsidRDefault="00374622">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-1158875</wp:posOffset>
                </wp:positionH>
                <wp:positionV relativeFrom="paragraph">
                  <wp:posOffset>109220</wp:posOffset>
                </wp:positionV>
                <wp:extent cx="7576185" cy="6040755"/>
                <wp:effectExtent l="0" t="0" r="5715" b="0"/>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6185" cy="6040755"/>
                          <a:chOff x="0" y="0"/>
                          <a:chExt cx="7576185" cy="6040789"/>
                        </a:xfrm>
                      </wpg:grpSpPr>
                      <wpg:grpSp>
                        <wpg:cNvPr id="5" name="组合 5"/>
                        <wpg:cNvGrpSpPr/>
                        <wpg:grpSpPr>
                          <a:xfrm>
                            <a:off x="0" y="0"/>
                            <a:ext cx="7576185" cy="6040789"/>
                            <a:chOff x="0" y="0"/>
                            <a:chExt cx="7576185" cy="6040789"/>
                          </a:xfrm>
                        </wpg:grpSpPr>
                        <wps:wsp>
                          <wps:cNvPr id="1" name="文本框 1"/>
                          <wps:cNvSpPr txBox="1"/>
                          <wps:spPr>
                            <a:xfrm>
                              <a:off x="0" y="2502569"/>
                              <a:ext cx="7576185" cy="3538220"/>
                            </a:xfrm>
                            <a:prstGeom prst="rect">
                              <a:avLst/>
                            </a:prstGeom>
                            <a:solidFill>
                              <a:sysClr val="window" lastClr="FFFFFF"/>
                            </a:solidFill>
                            <a:ln w="6350">
                              <a:noFill/>
                            </a:ln>
                            <a:effectLst/>
                          </wps:spPr>
                          <wps:txbx>
                            <w:txbxContent>
                              <w:p w:rsidR="00AB7578" w:rsidRPr="002C147F" w:rsidRDefault="00374622" w:rsidP="002C147F">
                                <w:pPr>
                                  <w:jc w:val="center"/>
                                  <w:rPr>
                                    <w:rFonts w:ascii="华文中宋" w:eastAsia="华文中宋" w:hAnsi="华文中宋"/>
                                    <w:b/>
                                    <w:color w:val="0F243E"/>
                                    <w:sz w:val="120"/>
                                    <w:szCs w:val="120"/>
                                  </w:rPr>
                                </w:pPr>
                                <w:r>
                                  <w:rPr>
                                    <w:rFonts w:ascii="华文中宋" w:eastAsia="华文中宋" w:hAnsi="华文中宋" w:hint="eastAsia"/>
                                    <w:b/>
                                    <w:color w:val="0F243E"/>
                                    <w:sz w:val="120"/>
                                    <w:szCs w:val="120"/>
                                  </w:rPr>
                                  <w:t>煤炭购销合同格式范本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本框 2"/>
                          <wps:cNvSpPr txBox="1"/>
                          <wps:spPr>
                            <a:xfrm>
                              <a:off x="1347537" y="0"/>
                              <a:ext cx="4999355" cy="1282065"/>
                            </a:xfrm>
                            <a:prstGeom prst="rect">
                              <a:avLst/>
                            </a:prstGeom>
                            <a:noFill/>
                            <a:ln w="6350">
                              <a:noFill/>
                            </a:ln>
                            <a:effectLst/>
                          </wps:spPr>
                          <wps:txbx>
                            <w:txbxContent>
                              <w:p w:rsidR="00AB7578" w:rsidRPr="002C147F" w:rsidRDefault="00AB7578" w:rsidP="002C147F">
                                <w:pPr>
                                  <w:jc w:val="center"/>
                                  <w:rPr>
                                    <w:rFonts w:ascii="幼圆" w:eastAsia="幼圆"/>
                                    <w:b/>
                                    <w:color w:val="404040"/>
                                    <w:sz w:val="48"/>
                                  </w:rPr>
                                </w:pPr>
                                <w:r w:rsidRPr="002C147F">
                                  <w:rPr>
                                    <w:rFonts w:ascii="幼圆" w:eastAsia="幼圆" w:hint="eastAsia"/>
                                    <w:b/>
                                    <w:color w:val="404040"/>
                                    <w:sz w:val="48"/>
                                  </w:rPr>
                                  <w:t>最新精品合同类资料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直接连接符 3"/>
                        <wps:cNvCnPr/>
                        <wps:spPr>
                          <a:xfrm>
                            <a:off x="2128345" y="961697"/>
                            <a:ext cx="3456000" cy="0"/>
                          </a:xfrm>
                          <a:prstGeom prst="line">
                            <a:avLst/>
                          </a:prstGeom>
                          <a:noFill/>
                          <a:ln w="60325" cap="flat" cmpd="thinThick" algn="ctr">
                            <a:solidFill>
                              <a:sysClr val="windowText" lastClr="000000">
                                <a:lumMod val="65000"/>
                                <a:lumOff val="3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组合 6" o:spid="_x0000_s1026" style="position:absolute;left:0;text-align:left;margin-left:-91.25pt;margin-top:8.6pt;width:596.55pt;height:475.65pt;z-index:251658240" coordsize="75761,6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">
                <v:group id="组合 5" o:spid="_x0000_s1027" style="position:absolute;width:75761;height:60407" coordsize="75761,60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文本框 1" o:spid="_x0000_s1028" type="#_x0000_t202" style="position:absolute;top:25025;width:75761;height:35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Rbr8A&#10;AADaAAAADwAAAGRycy9kb3ducmV2LnhtbERPTYvCMBC9C/sfwizsTdOVRaWaiogrqzeroMehGdvS&#10;ZlKaWLv/3giCp+HxPmex7E0tOmpdaVnB9ygCQZxZXXKu4HT8Hc5AOI+ssbZMCv7JwTL5GCww1vbO&#10;B+pSn4sQwi5GBYX3TSylywoy6Ea2IQ7c1bYGfYBtLnWL9xBuajmOook0WHJoKLChdUFZld6Mgp8Z&#10;d9Xusjfncu02xk7HZ9xslfr67FdzEJ56/xa/3H86zIfnK88rk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91FuvwAAANoAAAAPAAAAAAAAAAAAAAAAAJgCAABkcnMvZG93bnJl&#10;di54bWxQSwUGAAAAAAQABAD1AAAAhAMAAAAA&#10;" fillcolor="window" stroked="f" strokeweight=".5pt">
                    <v:textbox>
                      <w:txbxContent>
                        <w:p w:rsidR="00AB7578" w:rsidRPr="002C147F" w:rsidRDefault="00374622" w:rsidP="002C147F">
                          <w:pPr>
                            <w:jc w:val="center"/>
                            <w:rPr>
                              <w:rFonts w:ascii="华文中宋" w:eastAsia="华文中宋" w:hAnsi="华文中宋"/>
                              <w:b/>
                              <w:color w:val="0F243E"/>
                              <w:sz w:val="120"/>
                              <w:szCs w:val="120"/>
                            </w:rPr>
                          </w:pPr>
                          <w:r>
                            <w:rPr>
                              <w:rFonts w:ascii="华文中宋" w:eastAsia="华文中宋" w:hAnsi="华文中宋" w:hint="eastAsia"/>
                              <w:b/>
                              <w:color w:val="0F243E"/>
                              <w:sz w:val="120"/>
                              <w:szCs w:val="120"/>
                            </w:rPr>
                            <w:t>煤炭购销合同格式范本</w:t>
                          </w:r>
                        </w:p>
                      </w:txbxContent>
                    </v:textbox>
                  </v:shape>
                  <v:shape id="文本框 2" o:spid="_x0000_s1029" type="#_x0000_t202" style="position:absolute;left:13475;width:49993;height:12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rsidR="00AB7578" w:rsidRPr="002C147F" w:rsidRDefault="00AB7578" w:rsidP="002C147F">
                          <w:pPr>
                            <w:jc w:val="center"/>
                            <w:rPr>
                              <w:rFonts w:ascii="幼圆" w:eastAsia="幼圆"/>
                              <w:b/>
                              <w:color w:val="404040"/>
                              <w:sz w:val="48"/>
                            </w:rPr>
                          </w:pPr>
                          <w:r w:rsidRPr="002C147F">
                            <w:rPr>
                              <w:rFonts w:ascii="幼圆" w:eastAsia="幼圆" w:hint="eastAsia"/>
                              <w:b/>
                              <w:color w:val="404040"/>
                              <w:sz w:val="48"/>
                            </w:rPr>
                            <w:t>最新精品合同类资料</w:t>
                          </w:r>
                        </w:p>
                      </w:txbxContent>
                    </v:textbox>
                  </v:shape>
                </v:group>
                <v:line id="直接连接符 3" o:spid="_x0000_s1030" style="position:absolute;visibility:visible;mso-wrap-style:square" from="21283,9616" to="55843,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XIUsMAAADaAAAADwAAAGRycy9kb3ducmV2LnhtbESPQWsCMRSE74L/ITzBi2i2UqSuRpHS&#10;gqUntQjenpvnZnHzsiRZ3f77piB4HGbmG2a57mwtbuRD5VjByyQDQVw4XXGp4OfwOX4DESKyxtox&#10;KfilAOtVv7fEXLs77+i2j6VIEA45KjAxNrmUoTBkMUxcQ5y8i/MWY5K+lNrjPcFtLadZNpMWK04L&#10;Bht6N1Rc961VMNO74/fIn5pD2Y7OH+3XdG7ao1LDQbdZgIjUxWf40d5qBa/wfyXd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FyFLDAAAA2gAAAA8AAAAAAAAAAAAA&#10;AAAAoQIAAGRycy9kb3ducmV2LnhtbFBLBQYAAAAABAAEAPkAAACRAwAAAAA=&#10;" strokecolor="#595959" strokeweight="4.75pt">
                  <v:stroke linestyle="thinThick"/>
                </v:line>
              </v:group>
            </w:pict>
          </mc:Fallback>
        </mc:AlternateContent>
      </w:r>
      <w:r>
        <w:rPr>
          <w:noProof/>
        </w:rPr>
        <w:drawing>
          <wp:anchor distT="0" distB="0" distL="114300" distR="114300" simplePos="0" relativeHeight="251657216" behindDoc="0" locked="0" layoutInCell="1" allowOverlap="1">
            <wp:simplePos x="0" y="0"/>
            <wp:positionH relativeFrom="column">
              <wp:posOffset>-1232535</wp:posOffset>
            </wp:positionH>
            <wp:positionV relativeFrom="paragraph">
              <wp:posOffset>-923925</wp:posOffset>
            </wp:positionV>
            <wp:extent cx="7659370" cy="10723245"/>
            <wp:effectExtent l="0" t="0" r="0" b="1905"/>
            <wp:wrapNone/>
            <wp:docPr id="2" name="图片 2" descr="小不点--合同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小不点--合同封面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9370" cy="10723245"/>
                    </a:xfrm>
                    <a:prstGeom prst="rect">
                      <a:avLst/>
                    </a:prstGeom>
                    <a:noFill/>
                  </pic:spPr>
                </pic:pic>
              </a:graphicData>
            </a:graphic>
            <wp14:sizeRelH relativeFrom="page">
              <wp14:pctWidth>0</wp14:pctWidth>
            </wp14:sizeRelH>
            <wp14:sizeRelV relativeFrom="page">
              <wp14:pctHeight>0</wp14:pctHeight>
            </wp14:sizeRelV>
          </wp:anchor>
        </w:drawing>
      </w:r>
    </w:p>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AB7578" w:rsidRDefault="00AB7578"/>
    <w:p w:rsidR="007D7032" w:rsidRPr="00957ABE" w:rsidRDefault="007D7032" w:rsidP="00957ABE">
      <w:pPr>
        <w:pStyle w:val="a3"/>
        <w:spacing w:beforeLines="20" w:before="62" w:afterLines="150" w:after="468"/>
        <w:jc w:val="center"/>
        <w:rPr>
          <w:rFonts w:ascii="黑体" w:eastAsia="黑体" w:hAnsi="黑体" w:cs="宋体"/>
          <w:b/>
          <w:sz w:val="48"/>
        </w:rPr>
      </w:pPr>
      <w:r w:rsidRPr="00957ABE">
        <w:rPr>
          <w:rFonts w:ascii="黑体" w:eastAsia="黑体" w:hAnsi="黑体" w:cs="宋体" w:hint="eastAsia"/>
          <w:b/>
          <w:sz w:val="48"/>
        </w:rPr>
        <w:t>煤炭购销合同格式范本</w:t>
      </w:r>
    </w:p>
    <w:p w:rsidR="007D7032" w:rsidRPr="00957ABE" w:rsidRDefault="007D7032" w:rsidP="00957ABE">
      <w:pPr>
        <w:pStyle w:val="a3"/>
        <w:spacing w:beforeLines="100" w:before="312"/>
        <w:ind w:firstLineChars="200" w:firstLine="560"/>
        <w:jc w:val="left"/>
        <w:rPr>
          <w:rFonts w:hAnsi="宋体" w:cs="宋体"/>
          <w:sz w:val="28"/>
        </w:rPr>
      </w:pP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甲方(需方)：-----------------------------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乙方(供方)：-----------------------------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一、交货时间及数量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交货时间式量原煤产地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自签定合同之日起15天供货完毕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二、交货地点：甲方货场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三、煤炭运输时间：按甲方要求时间运输。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四、质量要求(以甲方中心化验室化验数据为准)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1、收到基低位发热值：Qnet.ar ≥ 5000KCal/ Kg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2、挥发份： Vad22 %―28 %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3、全水份：Mt ≤ 8 %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4、含硫量：St.ad ≤0.7 %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lastRenderedPageBreak/>
        <w:t xml:space="preserve">　　5、焦渣特性：2―5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6、灰份：Aad≤24 %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7、粒度：粒度小于3mm占30%以下，大于3mm占70%以上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五、价格及金额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乙方煤炭达到第四条要求，在5000 KCal/ Kg的基础上，定价为元/吨(按1票结算)。高于5000 KCal/ Kg的价格见本合同第七条第四款。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六、煤炭检验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1、煤炭检验数据以甲方中心化验室出具的检验报告为准。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2、煤炭到货后，须先经甲方中心化验室到乙方存货点(或车内)取样化验。如达到第四条质量要求，甲方通知乙方进煤200-300吨进行试烧。如煤炭适合甲方炉型则继续履行合同。如不适合甲方炉型则中止该批合同,乙方损失自负。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3、乙方批量供煤过程(1)汽车运输甲方每500吨化验一次，连续二次不合格,中止执行合同,责任乙方自负。(2)火车运输到站后甲方负责到火车站取样化验，确定是否接收, 运输中每500吨化验一次,连续二次不合格, 中止执行合同，责任乙方自负。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4、在取样化验过程中，甲方安排中心化验室、热源部、物资</w:t>
      </w:r>
      <w:r w:rsidRPr="00957ABE">
        <w:rPr>
          <w:rFonts w:hAnsi="宋体" w:cs="宋体" w:hint="eastAsia"/>
          <w:sz w:val="28"/>
        </w:rPr>
        <w:lastRenderedPageBreak/>
        <w:t xml:space="preserve">供应部人员参加，乙方安排人员参加，取样完毕后，按要求填写热电燃气总公司入场煤炭取样会签单。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5、在进煤过程中，发现乙方明显掺假作弊，立即终止合同。甲方中心化验室单独取作弊部分化验，并将化验结果作为该批次的结帐依据，由此造成的损失由乙方全部承担。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七、奖罚措施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1、合同签定的同时，乙方应向甲方交纳5万元的合同保证金(甲方尚欠煤炭款的除外)。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2、乙方严格按甲方进煤计划和本合同有关质量要求供货，因供货不及时或未达到本合同有关质量要求给甲方生产造成的一切损失，由乙方承担，所交保证金甲方不再退还(或从尚欠煤炭款中扣除)。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3、全水份大于8%的部分，按比例扣除重量。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4、收到基低位发热值在4901-5000KCal/Kg之间，扣减10元/吨，在4801-4900KCal/Kg，扣减20元/吨，低于4800KCal/Kg拒收，甲方终止合同，已入库部分按热值与吨煤产气量理论值折算扣款。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5、收到基低位发热值5000KCal/ Kg---5500KCal/ Kg内,每增加100KCal/Kg，价格上调10元/吨，在5500KCal/ Kg---5800KCal/ Kg内,发热量每增加100KCal/ Kg，价格上调5元/吨，大于5800 KCal/ Kg不再上调价格。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lastRenderedPageBreak/>
        <w:t xml:space="preserve">　　6、含硫量在指标要求范围内每高于0.1%,价格下调5元/吨.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7、挥发份在指标要求范围内每降低1%，价格下调10元/吨。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八、数量计量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以甲方地中衡称量为准，双方共同监磅。如需外委称重，需有甲乙双方共同监磅，并在过磅单上签字。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九、付款方式及时间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全部接货并验收合格后，乙方按要求出举发票，甲方在十五个工作日内付清货款。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十、本合同如有变更，双方另立供货合同。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十一、本合同如发生纠纷由双方协商解决，如协商不成，提交黄岛区人民法院仲裁。 </w:t>
      </w:r>
    </w:p>
    <w:p w:rsidR="007D7032" w:rsidRPr="00957ABE" w:rsidRDefault="007D7032" w:rsidP="00957ABE">
      <w:pPr>
        <w:pStyle w:val="a3"/>
        <w:spacing w:beforeLines="100" w:before="312"/>
        <w:ind w:firstLineChars="200" w:firstLine="560"/>
        <w:jc w:val="left"/>
        <w:rPr>
          <w:rFonts w:hAnsi="宋体" w:cs="宋体"/>
          <w:sz w:val="28"/>
        </w:rPr>
      </w:pPr>
      <w:r w:rsidRPr="00957ABE">
        <w:rPr>
          <w:rFonts w:hAnsi="宋体" w:cs="宋体" w:hint="eastAsia"/>
          <w:sz w:val="28"/>
        </w:rPr>
        <w:t xml:space="preserve">　　十二、本合同一式五份，甲方执四份，乙方执一份。</w:t>
      </w:r>
    </w:p>
    <w:p w:rsidR="007D7032" w:rsidRPr="00957ABE" w:rsidRDefault="007D7032" w:rsidP="00957ABE">
      <w:pPr>
        <w:pStyle w:val="a3"/>
        <w:spacing w:beforeLines="100" w:before="312"/>
        <w:ind w:firstLineChars="200" w:firstLine="560"/>
        <w:jc w:val="left"/>
        <w:rPr>
          <w:rFonts w:hAnsi="宋体" w:cs="宋体"/>
          <w:sz w:val="28"/>
        </w:rPr>
      </w:pPr>
    </w:p>
    <w:p w:rsidR="007D7032" w:rsidRPr="00957ABE" w:rsidRDefault="007D7032" w:rsidP="00E84BBA">
      <w:pPr>
        <w:pStyle w:val="a3"/>
        <w:spacing w:beforeLines="100" w:before="312"/>
        <w:jc w:val="left"/>
        <w:rPr>
          <w:rFonts w:hAnsi="宋体" w:cs="宋体"/>
          <w:sz w:val="28"/>
        </w:rPr>
      </w:pPr>
    </w:p>
    <w:p w:rsidR="004C29B3" w:rsidRPr="00957ABE" w:rsidRDefault="004C29B3" w:rsidP="00957ABE">
      <w:pPr>
        <w:pStyle w:val="a3"/>
        <w:spacing w:beforeLines="100" w:before="312"/>
        <w:ind w:firstLineChars="200" w:firstLine="560"/>
        <w:jc w:val="left"/>
        <w:rPr>
          <w:rFonts w:hAnsi="宋体" w:cs="宋体"/>
          <w:sz w:val="28"/>
        </w:rPr>
      </w:pPr>
    </w:p>
    <w:sectPr w:rsidR="004C29B3" w:rsidRPr="00957ABE" w:rsidSect="004C29B3">
      <w:footerReference w:type="even" r:id="rId8"/>
      <w:footerReference w:type="default" r:id="rId9"/>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F4" w:rsidRDefault="00356CF4" w:rsidP="00DB4C07">
      <w:r>
        <w:separator/>
      </w:r>
    </w:p>
  </w:endnote>
  <w:endnote w:type="continuationSeparator" w:id="0">
    <w:p w:rsidR="00356CF4" w:rsidRDefault="00356CF4" w:rsidP="00DB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BE" w:rsidRDefault="00957ABE" w:rsidP="00354F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C07" w:rsidRDefault="00DB4C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BE" w:rsidRDefault="00957ABE" w:rsidP="00354F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4622">
      <w:rPr>
        <w:rStyle w:val="a6"/>
        <w:noProof/>
      </w:rPr>
      <w:t>2</w:t>
    </w:r>
    <w:r>
      <w:rPr>
        <w:rStyle w:val="a6"/>
      </w:rPr>
      <w:fldChar w:fldCharType="end"/>
    </w:r>
  </w:p>
  <w:p w:rsidR="00DB4C07" w:rsidRDefault="00DB4C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F4" w:rsidRDefault="00356CF4" w:rsidP="00DB4C07">
      <w:r>
        <w:separator/>
      </w:r>
    </w:p>
  </w:footnote>
  <w:footnote w:type="continuationSeparator" w:id="0">
    <w:p w:rsidR="00356CF4" w:rsidRDefault="00356CF4" w:rsidP="00DB4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E6897"/>
    <w:rsid w:val="002C147F"/>
    <w:rsid w:val="00354F8A"/>
    <w:rsid w:val="00356CF4"/>
    <w:rsid w:val="00374622"/>
    <w:rsid w:val="00412A72"/>
    <w:rsid w:val="004C29B3"/>
    <w:rsid w:val="005D7E82"/>
    <w:rsid w:val="006D33BC"/>
    <w:rsid w:val="007D7032"/>
    <w:rsid w:val="00957ABE"/>
    <w:rsid w:val="009A0023"/>
    <w:rsid w:val="00AB7578"/>
    <w:rsid w:val="00AF51AB"/>
    <w:rsid w:val="00CE1C21"/>
    <w:rsid w:val="00DB4C07"/>
    <w:rsid w:val="00E81385"/>
    <w:rsid w:val="00E84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4C29B3"/>
    <w:rPr>
      <w:rFonts w:ascii="宋体" w:hAnsi="Courier New" w:cs="Courier New"/>
      <w:szCs w:val="21"/>
    </w:rPr>
  </w:style>
  <w:style w:type="character" w:customStyle="1" w:styleId="Char">
    <w:name w:val="纯文本 Char"/>
    <w:link w:val="a3"/>
    <w:uiPriority w:val="99"/>
    <w:rsid w:val="004C29B3"/>
    <w:rPr>
      <w:rFonts w:ascii="宋体" w:eastAsia="宋体" w:hAnsi="Courier New" w:cs="Courier New"/>
      <w:szCs w:val="21"/>
    </w:rPr>
  </w:style>
  <w:style w:type="paragraph" w:styleId="a4">
    <w:name w:val="header"/>
    <w:basedOn w:val="a"/>
    <w:link w:val="Char0"/>
    <w:uiPriority w:val="99"/>
    <w:unhideWhenUsed/>
    <w:rsid w:val="00DB4C07"/>
    <w:pPr>
      <w:tabs>
        <w:tab w:val="center" w:pos="4153"/>
        <w:tab w:val="right" w:pos="8306"/>
      </w:tabs>
      <w:snapToGrid w:val="0"/>
      <w:jc w:val="center"/>
    </w:pPr>
    <w:rPr>
      <w:sz w:val="18"/>
      <w:szCs w:val="18"/>
    </w:rPr>
  </w:style>
  <w:style w:type="character" w:customStyle="1" w:styleId="Char0">
    <w:name w:val="页眉 Char"/>
    <w:link w:val="a4"/>
    <w:uiPriority w:val="99"/>
    <w:rsid w:val="00DB4C07"/>
    <w:rPr>
      <w:kern w:val="2"/>
      <w:sz w:val="18"/>
      <w:szCs w:val="18"/>
    </w:rPr>
  </w:style>
  <w:style w:type="paragraph" w:styleId="a5">
    <w:name w:val="footer"/>
    <w:basedOn w:val="a"/>
    <w:link w:val="Char1"/>
    <w:uiPriority w:val="99"/>
    <w:unhideWhenUsed/>
    <w:rsid w:val="00DB4C07"/>
    <w:pPr>
      <w:tabs>
        <w:tab w:val="center" w:pos="4153"/>
        <w:tab w:val="right" w:pos="8306"/>
      </w:tabs>
      <w:snapToGrid w:val="0"/>
      <w:jc w:val="left"/>
    </w:pPr>
    <w:rPr>
      <w:sz w:val="18"/>
      <w:szCs w:val="18"/>
    </w:rPr>
  </w:style>
  <w:style w:type="character" w:customStyle="1" w:styleId="Char1">
    <w:name w:val="页脚 Char"/>
    <w:link w:val="a5"/>
    <w:uiPriority w:val="99"/>
    <w:rsid w:val="00DB4C07"/>
    <w:rPr>
      <w:kern w:val="2"/>
      <w:sz w:val="18"/>
      <w:szCs w:val="18"/>
    </w:rPr>
  </w:style>
  <w:style w:type="character" w:styleId="a6">
    <w:name w:val="page number"/>
    <w:uiPriority w:val="99"/>
    <w:semiHidden/>
    <w:unhideWhenUsed/>
    <w:rsid w:val="00957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4C29B3"/>
    <w:rPr>
      <w:rFonts w:ascii="宋体" w:hAnsi="Courier New" w:cs="Courier New"/>
      <w:szCs w:val="21"/>
    </w:rPr>
  </w:style>
  <w:style w:type="character" w:customStyle="1" w:styleId="Char">
    <w:name w:val="纯文本 Char"/>
    <w:link w:val="a3"/>
    <w:uiPriority w:val="99"/>
    <w:rsid w:val="004C29B3"/>
    <w:rPr>
      <w:rFonts w:ascii="宋体" w:eastAsia="宋体" w:hAnsi="Courier New" w:cs="Courier New"/>
      <w:szCs w:val="21"/>
    </w:rPr>
  </w:style>
  <w:style w:type="paragraph" w:styleId="a4">
    <w:name w:val="header"/>
    <w:basedOn w:val="a"/>
    <w:link w:val="Char0"/>
    <w:uiPriority w:val="99"/>
    <w:unhideWhenUsed/>
    <w:rsid w:val="00DB4C07"/>
    <w:pPr>
      <w:tabs>
        <w:tab w:val="center" w:pos="4153"/>
        <w:tab w:val="right" w:pos="8306"/>
      </w:tabs>
      <w:snapToGrid w:val="0"/>
      <w:jc w:val="center"/>
    </w:pPr>
    <w:rPr>
      <w:sz w:val="18"/>
      <w:szCs w:val="18"/>
    </w:rPr>
  </w:style>
  <w:style w:type="character" w:customStyle="1" w:styleId="Char0">
    <w:name w:val="页眉 Char"/>
    <w:link w:val="a4"/>
    <w:uiPriority w:val="99"/>
    <w:rsid w:val="00DB4C07"/>
    <w:rPr>
      <w:kern w:val="2"/>
      <w:sz w:val="18"/>
      <w:szCs w:val="18"/>
    </w:rPr>
  </w:style>
  <w:style w:type="paragraph" w:styleId="a5">
    <w:name w:val="footer"/>
    <w:basedOn w:val="a"/>
    <w:link w:val="Char1"/>
    <w:uiPriority w:val="99"/>
    <w:unhideWhenUsed/>
    <w:rsid w:val="00DB4C07"/>
    <w:pPr>
      <w:tabs>
        <w:tab w:val="center" w:pos="4153"/>
        <w:tab w:val="right" w:pos="8306"/>
      </w:tabs>
      <w:snapToGrid w:val="0"/>
      <w:jc w:val="left"/>
    </w:pPr>
    <w:rPr>
      <w:sz w:val="18"/>
      <w:szCs w:val="18"/>
    </w:rPr>
  </w:style>
  <w:style w:type="character" w:customStyle="1" w:styleId="Char1">
    <w:name w:val="页脚 Char"/>
    <w:link w:val="a5"/>
    <w:uiPriority w:val="99"/>
    <w:rsid w:val="00DB4C07"/>
    <w:rPr>
      <w:kern w:val="2"/>
      <w:sz w:val="18"/>
      <w:szCs w:val="18"/>
    </w:rPr>
  </w:style>
  <w:style w:type="character" w:styleId="a6">
    <w:name w:val="page number"/>
    <w:uiPriority w:val="99"/>
    <w:semiHidden/>
    <w:unhideWhenUsed/>
    <w:rsid w:val="0095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DocSecurity>0</DocSecurity>
  <Lines>11</Lines>
  <Paragraphs>3</Paragraphs>
  <ScaleCrop>false</ScaleCrop>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2018-11-27T18:29:00Z</dcterms:created>
  <dcterms:modified xsi:type="dcterms:W3CDTF">2018-11-27T18:29:00Z</dcterms:modified>
</cp:coreProperties>
</file>