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0000FF"/>
          <w:sz w:val="52"/>
        </w:rPr>
      </w:pPr>
      <w:r>
        <w:rPr>
          <w:rFonts w:hint="eastAsia" w:ascii="黑体" w:hAnsi="黑体" w:eastAsia="黑体" w:cs="宋体"/>
          <w:b/>
          <w:color w:val="0000FF"/>
          <w:sz w:val="52"/>
        </w:rPr>
        <w:t>纺织品购销合同范本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bookmarkStart w:id="0" w:name="_GoBack"/>
      <w:bookmarkEnd w:id="0"/>
      <w:r>
        <w:rPr>
          <w:rFonts w:hint="eastAsia" w:hAnsi="宋体" w:cs="宋体"/>
          <w:color w:val="000000"/>
          <w:sz w:val="28"/>
        </w:rPr>
        <w:t>　一、产品清单及价格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产品名称</w:t>
      </w:r>
      <w:r>
        <w:rPr>
          <w:rFonts w:hint="eastAsia" w:hAnsi="宋体" w:cs="宋体"/>
          <w:color w:val="000000"/>
          <w:sz w:val="28"/>
        </w:rPr>
        <w:cr/>
      </w:r>
      <w:r>
        <w:rPr>
          <w:rFonts w:hint="eastAsia" w:hAnsi="宋体" w:cs="宋体"/>
          <w:color w:val="000000"/>
          <w:sz w:val="28"/>
        </w:rPr>
        <w:t>　　品种</w:t>
      </w:r>
      <w:r>
        <w:rPr>
          <w:rFonts w:hint="eastAsia" w:hAnsi="宋体" w:cs="宋体"/>
          <w:color w:val="000000"/>
          <w:sz w:val="28"/>
        </w:rPr>
        <w:cr/>
      </w:r>
      <w:r>
        <w:rPr>
          <w:rFonts w:hint="eastAsia" w:hAnsi="宋体" w:cs="宋体"/>
          <w:color w:val="000000"/>
          <w:sz w:val="28"/>
        </w:rPr>
        <w:t>　　计算单位</w:t>
      </w:r>
      <w:r>
        <w:rPr>
          <w:rFonts w:hint="eastAsia" w:hAnsi="宋体" w:cs="宋体"/>
          <w:color w:val="000000"/>
          <w:sz w:val="28"/>
        </w:rPr>
        <w:cr/>
      </w:r>
      <w:r>
        <w:rPr>
          <w:rFonts w:hint="eastAsia" w:hAnsi="宋体" w:cs="宋体"/>
          <w:color w:val="000000"/>
          <w:sz w:val="28"/>
        </w:rPr>
        <w:t>　　单位（元）</w:t>
      </w:r>
      <w:r>
        <w:rPr>
          <w:rFonts w:hint="eastAsia" w:hAnsi="宋体" w:cs="宋体"/>
          <w:color w:val="000000"/>
          <w:sz w:val="28"/>
        </w:rPr>
        <w:cr/>
      </w:r>
      <w:r>
        <w:rPr>
          <w:rFonts w:hint="eastAsia" w:hAnsi="宋体" w:cs="宋体"/>
          <w:color w:val="000000"/>
          <w:sz w:val="28"/>
        </w:rPr>
        <w:t>　　总金额（元）</w:t>
      </w:r>
      <w:r>
        <w:rPr>
          <w:rFonts w:hint="eastAsia" w:hAnsi="宋体" w:cs="宋体"/>
          <w:color w:val="000000"/>
          <w:sz w:val="28"/>
        </w:rPr>
        <w:cr/>
      </w:r>
      <w:r>
        <w:rPr>
          <w:rFonts w:hint="eastAsia" w:hAnsi="宋体" w:cs="宋体"/>
          <w:color w:val="000000"/>
          <w:sz w:val="28"/>
        </w:rPr>
        <w:t>　　交(提)货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时间及数量</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34128"/>
    <w:rsid w:val="002643F6"/>
    <w:rsid w:val="002E42AC"/>
    <w:rsid w:val="002F43B4"/>
    <w:rsid w:val="00370E52"/>
    <w:rsid w:val="004C52A0"/>
    <w:rsid w:val="00522FB0"/>
    <w:rsid w:val="00536F99"/>
    <w:rsid w:val="00545053"/>
    <w:rsid w:val="005B4C42"/>
    <w:rsid w:val="00632B03"/>
    <w:rsid w:val="007E3EEB"/>
    <w:rsid w:val="00822D89"/>
    <w:rsid w:val="00870AB4"/>
    <w:rsid w:val="008C7127"/>
    <w:rsid w:val="00A46059"/>
    <w:rsid w:val="00B10FB4"/>
    <w:rsid w:val="00E40FD7"/>
    <w:rsid w:val="00E65425"/>
    <w:rsid w:val="00ED3354"/>
    <w:rsid w:val="00FE2325"/>
    <w:rsid w:val="00FF7810"/>
    <w:rsid w:val="3F82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239</Words>
  <Characters>1363</Characters>
  <Lines>11</Lines>
  <Paragraphs>3</Paragraphs>
  <TotalTime>0</TotalTime>
  <ScaleCrop>false</ScaleCrop>
  <LinksUpToDate>false</LinksUpToDate>
  <CharactersWithSpaces>1599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2018-12-07T05:14:00Z</dcterms:created>
  <dc:creator>computer</dc:creator>
  <cp:lastModifiedBy>XXX</cp:lastModifiedBy>
  <dcterms:modified xsi:type="dcterms:W3CDTF">2020-11-12T03:47:07Z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