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Calibri" w:eastAsia="宋体" w:hAnsi="Calibri" w:cs="Times New Roman"/>
          <w:color w:val="5B9BD5" w:themeColor="accent1"/>
          <w:kern w:val="2"/>
          <w:sz w:val="21"/>
          <w14:textFill>
            <w14:solidFill>
              <w14:schemeClr w14:val="accent1"/>
            </w14:solidFill>
          </w14:textFill>
        </w:rPr>
        <w:id w:val="29537136"/>
        <w:docPartObj>
          <w:docPartGallery w:val="AutoText"/>
        </w:docPartObj>
      </w:sdtPr>
      <w:sdtEndPr>
        <w:rPr>
          <w:rFonts w:ascii="Calibri" w:eastAsia="宋体" w:hAnsi="Calibri" w:cs="Times New Roman"/>
          <w:color w:val="auto"/>
          <w:kern w:val="2"/>
          <w:sz w:val="21"/>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18529"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widowControl/>
            <w:spacing w:before="75" w:after="75" w:line="450" w:lineRule="atLeast"/>
            <w:jc w:val="left"/>
          </w:pPr>
          <w:r>
            <mc:AlternateContent>
              <mc:Choice Requires="wps">
                <w:drawing>
                  <wp:anchor distT="0" distB="0" distL="114300" distR="114300" simplePos="0" relativeHeight="251667456" behindDoc="0" locked="0" layoutInCell="1" allowOverlap="1">
                    <wp:simplePos x="0" y="0"/>
                    <wp:positionH relativeFrom="margin">
                      <wp:posOffset>-209550</wp:posOffset>
                    </wp:positionH>
                    <wp:positionV relativeFrom="paragraph">
                      <wp:posOffset>1144270</wp:posOffset>
                    </wp:positionV>
                    <wp:extent cx="5657850"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657850"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年公司财务会计岗位工作总结（二）</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445.5pt;height:138.15pt;margin-top:90.1pt;margin-left:-16.5pt;mso-height-relative:page;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年公司财务会计岗位工作总结（二）</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60743"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1326593189"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widowControl/>
        <w:snapToGrid w:val="0"/>
        <w:spacing w:line="360" w:lineRule="auto"/>
        <w:ind w:firstLine="560" w:firstLineChars="200"/>
        <w:jc w:val="left"/>
        <w:rPr>
          <w:rFonts w:ascii="宋体" w:hAnsi="宋体" w:cs="宋体"/>
          <w:kern w:val="0"/>
          <w:sz w:val="28"/>
          <w:szCs w:val="28"/>
        </w:rPr>
      </w:pPr>
      <w:r>
        <w:rPr>
          <w:rFonts w:ascii="宋体" w:hAnsi="宋体" w:cs="宋体"/>
          <w:kern w:val="0"/>
          <w:sz w:val="28"/>
          <w:szCs w:val="28"/>
        </w:rPr>
        <w:t>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年个人工作总结如下：</w:t>
      </w:r>
    </w:p>
    <w:p>
      <w:pPr>
        <w:widowControl/>
        <w:snapToGrid w:val="0"/>
        <w:spacing w:line="360" w:lineRule="auto"/>
        <w:jc w:val="left"/>
        <w:rPr>
          <w:rFonts w:ascii="宋体" w:hAnsi="宋体" w:cs="宋体"/>
          <w:kern w:val="0"/>
          <w:sz w:val="28"/>
          <w:szCs w:val="28"/>
        </w:rPr>
      </w:pPr>
      <w:r>
        <w:rPr>
          <w:rFonts w:ascii="宋体" w:hAnsi="宋体" w:cs="宋体"/>
          <w:b/>
          <w:bCs/>
          <w:kern w:val="0"/>
          <w:sz w:val="28"/>
          <w:szCs w:val="28"/>
        </w:rPr>
        <w:t>　　一、费用的规范管理：</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widowControl/>
        <w:snapToGrid w:val="0"/>
        <w:spacing w:line="360" w:lineRule="auto"/>
        <w:jc w:val="left"/>
        <w:rPr>
          <w:rFonts w:ascii="宋体" w:hAnsi="宋体" w:cs="宋体"/>
          <w:kern w:val="0"/>
          <w:sz w:val="28"/>
          <w:szCs w:val="28"/>
        </w:rPr>
      </w:pPr>
      <w:r>
        <w:rPr>
          <w:rFonts w:ascii="宋体" w:hAnsi="宋体" w:cs="宋体"/>
          <w:b/>
          <w:bCs/>
          <w:kern w:val="0"/>
          <w:sz w:val="28"/>
          <w:szCs w:val="28"/>
        </w:rPr>
        <w:t>　　二、会计的基础工作：</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(1)规范记账凭证的编制，严格对原始凭证的合理性进行核查，看账实是否相符。强化会计档案的管理，使每一份合同每一份协议甚至公司内部上传下达的每一份文件都逐一装订成册，以便日后备查等。</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(2)按规定时间及要求编制集团公司所需要的财务报表，以便领导能及时准确的了解公司内部资金、费用、成本、利润等情况。</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(3)每月按时申报各项税金。在集团公司的年中税务审查中积极配合领导完成了往年公司的税务稽查工作。</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(5)每月按时核算职工的工资及费用，准备无误的统计集团公司及下属各公司的贷款情况，为领导提供最新最准的公司资金信息。</w:t>
      </w:r>
    </w:p>
    <w:p>
      <w:pPr>
        <w:widowControl/>
        <w:snapToGrid w:val="0"/>
        <w:spacing w:line="360" w:lineRule="auto"/>
        <w:jc w:val="left"/>
        <w:rPr>
          <w:rFonts w:ascii="宋体" w:hAnsi="宋体" w:cs="宋体"/>
          <w:kern w:val="0"/>
          <w:sz w:val="28"/>
          <w:szCs w:val="28"/>
        </w:rPr>
      </w:pPr>
      <w:r>
        <w:rPr>
          <w:rFonts w:ascii="宋体" w:hAnsi="宋体" w:cs="宋体"/>
          <w:b/>
          <w:bCs/>
          <w:kern w:val="0"/>
          <w:sz w:val="28"/>
          <w:szCs w:val="28"/>
        </w:rPr>
        <w:t>　　三、财务核算与管理工作</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(1)按领导要求对村宾馆的门市部及餐饮部不定时进行盘点，核算门市部及餐饮部的收入、成本及费用，以便能够及时准确的掌握其经营动态。同时提出了对门市部经营管理的见议，以便日后核算与管理。</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(2)正确计算营业税款及个人所得税，及时、足额地缴纳税款，积极配合税务部门使用新的税收申报软件，保持与税务部门的沟通与联系，取得他们的支持与指导。</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(3)由于公司以往内部往来管理不严产生漏洞的缺陷，倒至账面数额过大，占用了公司的大部分资金流量，在陆续结算工程欠款的同时，加大了对往来账务的核对与清查，对年限过长的客户往来进行了仔细的核对。</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(4)月份根据公司去年的利润将年度的分红款核算并分配到位。支付分红款时严格按照领导交办的事项，将有欠款的扣回后再予以支付。</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(5)积极配合工程部对去年及今年的马绵河公路及其它工程进行验收核算。</w:t>
      </w:r>
    </w:p>
    <w:p>
      <w:pPr>
        <w:widowControl/>
        <w:snapToGrid w:val="0"/>
        <w:spacing w:line="360" w:lineRule="auto"/>
        <w:jc w:val="left"/>
        <w:rPr>
          <w:rFonts w:ascii="宋体" w:hAnsi="宋体" w:cs="宋体"/>
          <w:kern w:val="0"/>
          <w:sz w:val="28"/>
          <w:szCs w:val="28"/>
        </w:rPr>
      </w:pPr>
      <w:r>
        <w:rPr>
          <w:rFonts w:ascii="宋体" w:hAnsi="宋体" w:cs="宋体"/>
          <w:b/>
          <w:bCs/>
          <w:kern w:val="0"/>
          <w:sz w:val="28"/>
          <w:szCs w:val="28"/>
        </w:rPr>
        <w:t>　　四、努力完成领导交办的临时性工作</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作为基层工作者，我充分认识到自己是一个执行者，无论何时何地领导交办的工作从不讨价还价都能及时并努力的去完成，遇到问题努力去询问，争取让领导满意。</w:t>
      </w:r>
    </w:p>
    <w:p>
      <w:pPr>
        <w:widowControl/>
        <w:snapToGrid w:val="0"/>
        <w:spacing w:line="360" w:lineRule="auto"/>
        <w:jc w:val="left"/>
        <w:rPr>
          <w:rFonts w:ascii="宋体" w:hAnsi="宋体" w:cs="宋体"/>
          <w:kern w:val="0"/>
          <w:sz w:val="28"/>
          <w:szCs w:val="28"/>
        </w:rPr>
      </w:pPr>
      <w:r>
        <w:rPr>
          <w:rFonts w:ascii="宋体" w:hAnsi="宋体" w:cs="宋体"/>
          <w:b/>
          <w:bCs/>
          <w:kern w:val="0"/>
          <w:sz w:val="28"/>
          <w:szCs w:val="28"/>
        </w:rPr>
        <w:t>　　五、工作中存在的问题：</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所谓“天下难事始于易，天下大事始于细”。工作之中再细也难免会出错，在这一年的工作之中还有很多待改的地方：</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1、财务会计知识要学的太多，需要努力学习提高自身的业务素质。</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2、努力学习尽快把合并报表的编制原理弄懂，并学之以用。</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3、工作中有时会马虎，值得去改进。</w:t>
      </w:r>
    </w:p>
    <w:p>
      <w:pPr>
        <w:widowControl/>
        <w:snapToGrid w:val="0"/>
        <w:spacing w:line="360" w:lineRule="auto"/>
        <w:jc w:val="left"/>
        <w:rPr>
          <w:rFonts w:ascii="宋体" w:hAnsi="宋体" w:cs="宋体"/>
          <w:kern w:val="0"/>
          <w:sz w:val="28"/>
          <w:szCs w:val="28"/>
        </w:rPr>
      </w:pPr>
      <w:r>
        <w:rPr>
          <w:rFonts w:ascii="宋体" w:hAnsi="宋体" w:cs="宋体"/>
          <w:kern w:val="0"/>
          <w:sz w:val="28"/>
          <w:szCs w:val="28"/>
        </w:rPr>
        <w:t>　　新的一年意味着新的起点、新的机遇、新的挑战，我决心再接再厉，努力学习业务知识，在公司领导及部门领导的正确指导下更上一层楼。</w:t>
      </w: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504150"/>
    <w:rsid w:val="006256F0"/>
    <w:rsid w:val="00A95B08"/>
    <w:rsid w:val="00C5391A"/>
    <w:rsid w:val="00C666C7"/>
    <w:rsid w:val="00E9765A"/>
    <w:rsid w:val="3D78589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