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sdt>
      <w:sdtPr>
        <w:rPr>
          <w:rFonts w:ascii="Times New Roman" w:eastAsia="宋体" w:hAnsi="Times New Roman" w:cs="Times New Roman"/>
          <w:color w:val="5B9BD5" w:themeColor="accent1"/>
          <w:kern w:val="2"/>
          <w:sz w:val="21"/>
          <w:szCs w:val="24"/>
          <w14:textFill>
            <w14:solidFill>
              <w14:schemeClr w14:val="accent1"/>
            </w14:solidFill>
          </w14:textFill>
        </w:rPr>
        <w:id w:val="29537136"/>
        <w:docPartObj>
          <w:docPartGallery w:val="AutoText"/>
        </w:docPartObj>
      </w:sdtPr>
      <w:sdtEndPr>
        <w:rPr>
          <w:rFonts w:ascii="Times New Roman" w:eastAsia="宋体" w:hAnsi="Times New Roman" w:cs="Times New Roman"/>
          <w:color w:val="auto"/>
          <w:kern w:val="2"/>
          <w:sz w:val="21"/>
          <w:szCs w:val="24"/>
        </w:rPr>
      </w:sdtEndPr>
      <w:sdtContent>
        <w:p>
          <w:pPr>
            <w:pStyle w:val="NoSpacing"/>
            <w:spacing w:before="1540" w:after="240"/>
            <w:jc w:val="center"/>
            <w:rPr>
              <w:color w:val="5B9BD5" w:themeColor="accent1"/>
              <w14:textFill>
                <w14:solidFill>
                  <w14:schemeClr w14:val="accent1"/>
                </w14:solidFill>
              </w14:textFill>
            </w:rPr>
          </w:pPr>
          <w:r>
            <w:rPr>
              <w:color w:val="5B9BD5" w:themeColor="accent1"/>
              <w14:textFill>
                <w14:solidFill>
                  <w14:schemeClr w14:val="accent1"/>
                </w14:solidFill>
              </w14:textFill>
            </w:rPr>
            <mc:AlternateContent>
              <mc:Choice Requires="wps">
                <w:drawing>
                  <wp:anchor distT="0" distB="0" distL="114300" distR="114300" simplePos="0" relativeHeight="251662336" behindDoc="0" locked="0" layoutInCell="1" allowOverlap="1">
                    <wp:simplePos x="0" y="0"/>
                    <wp:positionH relativeFrom="margin">
                      <wp:posOffset>-334645</wp:posOffset>
                    </wp:positionH>
                    <wp:positionV relativeFrom="paragraph">
                      <wp:posOffset>1316990</wp:posOffset>
                    </wp:positionV>
                    <wp:extent cx="5922645" cy="0"/>
                    <wp:effectExtent l="0" t="19050" r="20955" b="19050"/>
                    <wp:wrapNone/>
                    <wp:docPr id="2" name="直接连接符 2"/>
                    <wp:cNvGraphicFramePr/>
                    <a:graphic xmlns:a="http://schemas.openxmlformats.org/drawingml/2006/main">
                      <a:graphicData uri="http://schemas.microsoft.com/office/word/2010/wordprocessingShape">
                        <wps:wsp xmlns:wps="http://schemas.microsoft.com/office/word/2010/wordprocessingShape">
                          <wps:cNvCnPr/>
                          <wps:spPr>
                            <a:xfrm>
                              <a:off x="0" y="0"/>
                              <a:ext cx="5922645"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5" style="mso-height-relative:page;mso-position-horizontal-relative:margin;mso-width-relative:page;position:absolute;z-index:251663360" from="-26.35pt,103.7pt" to="440pt,103.7pt" coordsize="21600,21600" stroked="t" strokecolor="#1f4e79">
                    <v:stroke joinstyle="miter"/>
                    <o:lock v:ext="edit" aspectratio="f"/>
                    <w10:wrap anchorx="margin"/>
                  </v:lin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-406400</wp:posOffset>
                    </wp:positionH>
                    <wp:positionV relativeFrom="paragraph">
                      <wp:posOffset>1366520</wp:posOffset>
                    </wp:positionV>
                    <wp:extent cx="6086475" cy="12827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6475" cy="1282700"/>
                            </a:xfrm>
                            <a:prstGeom prst="rect">
                              <a:avLst/>
                            </a:prstGeom>
                            <a:noFill/>
                            <a:ln w="6350">
                              <a:noFill/>
                            </a:ln>
                          </wps:spPr>
                          <wps:txbx>
                            <w:txbxContent>
                              <w:p>
                                <w:pPr>
                                  <w:jc w:val="center"/>
                                  <w:rPr>
                                    <w:rFonts w:ascii="华文楷体" w:eastAsia="华文楷体" w:hAnsi="华文楷体"/>
                                    <w:b/>
                                    <w:i/>
                                    <w:color w:val="1F4E79" w:themeColor="accent1" w:themeShade="80"/>
                                    <w:sz w:val="96"/>
                                  </w:rPr>
                                </w:pPr>
                                <w:r>
                                  <w:rPr>
                                    <w:rFonts w:ascii="华文楷体" w:eastAsia="华文楷体" w:hAnsi="华文楷体" w:hint="eastAsia"/>
                                    <w:b/>
                                    <w:i/>
                                    <w:color w:val="1F4E79" w:themeColor="accent1" w:themeShade="80"/>
                                    <w:sz w:val="96"/>
                                    <w:lang w:eastAsia="zh-CN"/>
                                  </w:rPr>
                                  <w:t>20XX</w:t>
                                </w:r>
                                <w:r>
                                  <w:rPr>
                                    <w:rFonts w:ascii="华文楷体" w:eastAsia="华文楷体" w:hAnsi="华文楷体" w:hint="eastAsia"/>
                                    <w:b/>
                                    <w:i/>
                                    <w:color w:val="1F4E79" w:themeColor="accent1" w:themeShade="80"/>
                                    <w:sz w:val="96"/>
                                  </w:rPr>
                                  <w:t>年度</w:t>
                                </w:r>
                                <w:r>
                                  <w:rPr>
                                    <w:rFonts w:ascii="华文楷体" w:eastAsia="华文楷体" w:hAnsi="华文楷体"/>
                                    <w:b/>
                                    <w:i/>
                                    <w:color w:val="1F4E79" w:themeColor="accent1" w:themeShade="80"/>
                                    <w:sz w:val="96"/>
                                  </w:rPr>
                                  <w:t>工作总结</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6" type="#_x0000_t202" style="width:479.25pt;height:101pt;margin-top:107.6pt;margin-left:-32pt;mso-height-relative:page;mso-position-horizontal-relative:margin;mso-width-relative:page;position:absolute;z-index:251665408" coordsize="21600,21600" filled="f" stroked="f">
                    <o:lock v:ext="edit" aspectratio="f"/>
                    <v:textbox>
                      <w:txbxContent>
                        <w:p>
                          <w:pPr>
                            <w:jc w:val="center"/>
                            <w:rPr>
                              <w:rFonts w:ascii="华文楷体" w:eastAsia="华文楷体" w:hAnsi="华文楷体"/>
                              <w:b/>
                              <w:i/>
                              <w:color w:val="1F4E79" w:themeColor="accent1" w:themeShade="80"/>
                              <w:sz w:val="96"/>
                            </w:rPr>
                          </w:pPr>
                          <w:r>
                            <w:rPr>
                              <w:rFonts w:ascii="华文楷体" w:eastAsia="华文楷体" w:hAnsi="华文楷体" w:hint="eastAsia"/>
                              <w:b/>
                              <w:i/>
                              <w:color w:val="1F4E79" w:themeColor="accent1" w:themeShade="80"/>
                              <w:sz w:val="96"/>
                              <w:lang w:eastAsia="zh-CN"/>
                            </w:rPr>
                            <w:t>20XX</w:t>
                          </w:r>
                          <w:r>
                            <w:rPr>
                              <w:rFonts w:ascii="华文楷体" w:eastAsia="华文楷体" w:hAnsi="华文楷体" w:hint="eastAsia"/>
                              <w:b/>
                              <w:i/>
                              <w:color w:val="1F4E79" w:themeColor="accent1" w:themeShade="80"/>
                              <w:sz w:val="96"/>
                            </w:rPr>
                            <w:t>年度</w:t>
                          </w:r>
                          <w:r>
                            <w:rPr>
                              <w:rFonts w:ascii="华文楷体" w:eastAsia="华文楷体" w:hAnsi="华文楷体"/>
                              <w:b/>
                              <w:i/>
                              <w:color w:val="1F4E79" w:themeColor="accent1" w:themeShade="80"/>
                              <w:sz w:val="96"/>
                            </w:rPr>
                            <w:t>工作总结</w:t>
                          </w:r>
                        </w:p>
                      </w:txbxContent>
                    </v:textbox>
                    <w10:wrap anchorx="margin"/>
                  </v:shape>
                </w:pict>
              </mc:Fallback>
            </mc:AlternateContent>
          </w:r>
          <w:r>
            <w:rPr>
              <w:color w:val="5B9BD5" w:themeColor="accent1"/>
              <w14:textFill>
                <w14:solidFill>
                  <w14:schemeClr w14:val="accent1"/>
                </w14:solidFill>
              </w14:textFill>
            </w:rPr>
            <w:drawing>
              <wp:anchor distT="0" distB="0" distL="114300" distR="114300" simplePos="0" relativeHeight="251666432" behindDoc="0" locked="0" layoutInCell="1" allowOverlap="1">
                <wp:simplePos x="0" y="0"/>
                <wp:positionH relativeFrom="column">
                  <wp:posOffset>1268730</wp:posOffset>
                </wp:positionH>
                <wp:positionV relativeFrom="paragraph">
                  <wp:posOffset>-334645</wp:posOffset>
                </wp:positionV>
                <wp:extent cx="2725420" cy="1443990"/>
                <wp:effectExtent l="0" t="0" r="0" b="3810"/>
                <wp:wrapNone/>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34758" name="图片 143"/>
                        <pic:cNvPicPr>
                          <a:picLocks noChangeAspect="1"/>
                        </pic:cNvPicPr>
                      </pic:nvPicPr>
                      <pic:blipFill>
                        <a:blip xmlns:r="http://schemas.openxmlformats.org/officeDocument/2006/relationships" r:embed="rId5" cstate="print">
                          <a:duotone>
                            <a:prstClr val="black"/>
                            <a:schemeClr val="accent1">
                              <a:tint val="45000"/>
                              <a:satMod val="400000"/>
                            </a:schemeClr>
                          </a:duotone>
                          <a:extLst>
                            <a:ext xmlns:a="http://schemas.openxmlformats.org/drawingml/2006/main" uri="{28A0092B-C50C-407E-A947-70E740481C1C}">
                              <a14:useLocalDpi xmlns:a14="http://schemas.microsoft.com/office/drawing/2010/main" val="0"/>
                            </a:ext>
                          </a:extLst>
                        </a:blip>
                        <a:stretch>
                          <a:fillRect/>
                        </a:stretch>
                      </pic:blipFill>
                      <pic:spPr>
                        <a:xfrm>
                          <a:off x="0" y="0"/>
                          <a:ext cx="2725420" cy="1443990"/>
                        </a:xfrm>
                        <a:prstGeom prst="rect">
                          <a:avLst/>
                        </a:prstGeom>
                        <a:noFill/>
                        <a:ln>
                          <a:noFill/>
                        </a:ln>
                      </pic:spPr>
                    </pic:pic>
                  </a:graphicData>
                </a:graphic>
              </wp:anchor>
            </w:drawing>
          </w:r>
        </w:p>
        <w:p>
          <w:pPr>
            <w:pStyle w:val="NoSpacing"/>
            <w:rPr>
              <w:color w:val="5B9BD5" w:themeColor="accent1"/>
              <w:sz w:val="28"/>
              <w:szCs w:val="28"/>
              <w14:textFill>
                <w14:solidFill>
                  <w14:schemeClr w14:val="accent1"/>
                </w14:solidFill>
              </w14:textFill>
            </w:rPr>
          </w:pPr>
        </w:p>
        <w:p>
          <w:pPr>
            <w:pStyle w:val="NoSpacing"/>
            <w:spacing w:before="480"/>
            <w:jc w:val="center"/>
            <w:rPr>
              <w:color w:val="5B9BD5" w:themeColor="accent1"/>
              <w14:textFill>
                <w14:solidFill>
                  <w14:schemeClr w14:val="accent1"/>
                </w14:solidFill>
              </w14:textFill>
            </w:rPr>
          </w:pPr>
        </w:p>
        <w:p>
          <w:pPr>
            <w:ind w:firstLine="420"/>
          </w:pPr>
          <w:r>
            <mc:AlternateContent>
              <mc:Choice Requires="wps">
                <w:drawing>
                  <wp:anchor distT="0" distB="0" distL="114300" distR="114300" simplePos="0" relativeHeight="251667456" behindDoc="0" locked="0" layoutInCell="1" allowOverlap="1">
                    <wp:simplePos x="0" y="0"/>
                    <wp:positionH relativeFrom="margin">
                      <wp:posOffset>311785</wp:posOffset>
                    </wp:positionH>
                    <wp:positionV relativeFrom="paragraph">
                      <wp:posOffset>1153160</wp:posOffset>
                    </wp:positionV>
                    <wp:extent cx="4657090" cy="1754505"/>
                    <wp:effectExtent l="0" t="0" r="0" b="0"/>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4657090" cy="1754505"/>
                            </a:xfrm>
                            <a:prstGeom prst="rect">
                              <a:avLst/>
                            </a:prstGeom>
                            <a:noFill/>
                            <a:ln w="6350">
                              <a:noFill/>
                            </a:ln>
                          </wps:spPr>
                          <wps:txbx>
                            <w:txbxContent>
                              <w:p>
                                <w:pPr>
                                  <w:jc w:val="center"/>
                                  <w:rPr>
                                    <w:rFonts w:asciiTheme="minorEastAsia" w:hAnsiTheme="minorEastAsia"/>
                                    <w:b/>
                                    <w:sz w:val="72"/>
                                  </w:rPr>
                                </w:pPr>
                                <w:r>
                                  <w:rPr>
                                    <w:rFonts w:asciiTheme="minorEastAsia" w:hAnsiTheme="minorEastAsia" w:hint="eastAsia"/>
                                    <w:b/>
                                    <w:sz w:val="72"/>
                                    <w:lang w:eastAsia="zh-CN"/>
                                  </w:rPr>
                                  <w:t>20XX</w:t>
                                </w:r>
                                <w:r>
                                  <w:rPr>
                                    <w:rFonts w:asciiTheme="minorEastAsia" w:hAnsiTheme="minorEastAsia" w:hint="eastAsia"/>
                                    <w:b/>
                                    <w:sz w:val="72"/>
                                  </w:rPr>
                                  <w:t>年民政部门年度工作总结</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7" type="#_x0000_t202" style="width:366.7pt;height:138.15pt;margin-top:90.8pt;margin-left:24.55pt;mso-height-relative:page;mso-position-horizontal-relative:margin;mso-width-relative:page;position:absolute;z-index:251668480" coordsize="21600,21600" filled="f" stroked="f">
                    <o:lock v:ext="edit" aspectratio="f"/>
                    <v:textbox>
                      <w:txbxContent>
                        <w:p>
                          <w:pPr>
                            <w:jc w:val="center"/>
                            <w:rPr>
                              <w:rFonts w:asciiTheme="minorEastAsia" w:hAnsiTheme="minorEastAsia"/>
                              <w:b/>
                              <w:sz w:val="72"/>
                            </w:rPr>
                          </w:pPr>
                          <w:r>
                            <w:rPr>
                              <w:rFonts w:asciiTheme="minorEastAsia" w:hAnsiTheme="minorEastAsia" w:hint="eastAsia"/>
                              <w:b/>
                              <w:sz w:val="72"/>
                              <w:lang w:eastAsia="zh-CN"/>
                            </w:rPr>
                            <w:t>20XX</w:t>
                          </w:r>
                          <w:r>
                            <w:rPr>
                              <w:rFonts w:asciiTheme="minorEastAsia" w:hAnsiTheme="minorEastAsia" w:hint="eastAsia"/>
                              <w:b/>
                              <w:sz w:val="72"/>
                            </w:rPr>
                            <w:t>年民政部门年度工作总结</w:t>
                          </w:r>
                        </w:p>
                      </w:txbxContent>
                    </v:textbox>
                    <w10:wrap anchorx="margin"/>
                  </v:shape>
                </w:pict>
              </mc:Fallback>
            </mc:AlternateContent>
          </w:r>
          <w:r>
            <w:rPr>
              <w:color w:val="5B9BD5" w:themeColor="accent1"/>
              <w14:textFill>
                <w14:solidFill>
                  <w14:schemeClr w14:val="accent1"/>
                </w14:solidFill>
              </w14:textFill>
            </w:rPr>
            <w:drawing>
              <wp:anchor distT="0" distB="0" distL="114300" distR="114300" simplePos="0" relativeHeight="251659264" behindDoc="0" locked="0" layoutInCell="1" allowOverlap="1">
                <wp:simplePos x="0" y="0"/>
                <wp:positionH relativeFrom="margin">
                  <wp:align>center</wp:align>
                </wp:positionH>
                <wp:positionV relativeFrom="paragraph">
                  <wp:posOffset>530860</wp:posOffset>
                </wp:positionV>
                <wp:extent cx="758825" cy="478790"/>
                <wp:effectExtent l="0" t="0" r="3175" b="0"/>
                <wp:wrapNone/>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94919" name="图片 144"/>
                        <pic:cNvPicPr>
                          <a:picLocks noChangeAspect="1"/>
                        </pic:cNvPicPr>
                      </pic:nvPicPr>
                      <pic:blipFill>
                        <a:blip xmlns:r="http://schemas.openxmlformats.org/officeDocument/2006/relationships" r:embed="rId6" cstate="print">
                          <a:duotone>
                            <a:prstClr val="black"/>
                            <a:schemeClr val="accent1">
                              <a:tint val="45000"/>
                              <a:satMod val="400000"/>
                            </a:schemeClr>
                          </a:duotone>
                          <a:extLst>
                            <a:ext xmlns:a="http://schemas.openxmlformats.org/drawingml/2006/main" uri="{28A0092B-C50C-407E-A947-70E740481C1C}">
                              <a14:useLocalDpi xmlns:a14="http://schemas.microsoft.com/office/drawing/2010/main" val="0"/>
                            </a:ext>
                          </a:extLst>
                        </a:blip>
                        <a:stretch>
                          <a:fillRect/>
                        </a:stretch>
                      </pic:blipFill>
                      <pic:spPr>
                        <a:xfrm>
                          <a:off x="0" y="0"/>
                          <a:ext cx="758825" cy="478790"/>
                        </a:xfrm>
                        <a:prstGeom prst="rect">
                          <a:avLst/>
                        </a:prstGeom>
                      </pic:spPr>
                    </pic:pic>
                  </a:graphicData>
                </a:graphic>
              </wp:anchor>
            </w:drawing>
          </w:r>
          <w:r>
            <w:rPr>
              <w:color w:val="5B9BD5" w:themeColor="accent1"/>
              <w14:textFill>
                <w14:solidFill>
                  <w14:schemeClr w14:val="accent1"/>
                </w14:solidFill>
              </w14:textFill>
            </w:rPr>
            <mc:AlternateContent>
              <mc:Choice Requires="wps">
                <w:drawing>
                  <wp:anchor distT="0" distB="0" distL="114300" distR="114300" simplePos="0" relativeHeight="251660288" behindDoc="0" locked="0" layoutInCell="1" allowOverlap="1">
                    <wp:simplePos x="0" y="0"/>
                    <wp:positionH relativeFrom="margin">
                      <wp:posOffset>-334645</wp:posOffset>
                    </wp:positionH>
                    <wp:positionV relativeFrom="paragraph">
                      <wp:posOffset>318770</wp:posOffset>
                    </wp:positionV>
                    <wp:extent cx="5922645" cy="0"/>
                    <wp:effectExtent l="0" t="19050" r="20955" b="19050"/>
                    <wp:wrapNone/>
                    <wp:docPr id="1" name="直接连接符 1"/>
                    <wp:cNvGraphicFramePr/>
                    <a:graphic xmlns:a="http://schemas.openxmlformats.org/drawingml/2006/main">
                      <a:graphicData uri="http://schemas.microsoft.com/office/word/2010/wordprocessingShape">
                        <wps:wsp xmlns:wps="http://schemas.microsoft.com/office/word/2010/wordprocessingShape">
                          <wps:cNvCnPr/>
                          <wps:spPr>
                            <a:xfrm>
                              <a:off x="0" y="0"/>
                              <a:ext cx="5922645"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8" style="mso-height-relative:page;mso-position-horizontal-relative:margin;mso-width-relative:page;position:absolute;z-index:251661312" from="-26.35pt,25.1pt" to="440pt,25.1pt" coordsize="21600,21600" stroked="t" strokecolor="#1f4e79">
                    <v:stroke joinstyle="miter"/>
                    <o:lock v:ext="edit" aspectratio="f"/>
                    <w10:wrap anchorx="margin"/>
                  </v:line>
                </w:pict>
              </mc:Fallback>
            </mc:AlternateContent>
          </w:r>
          <w:r>
            <w:rPr>
              <w:color w:val="5B9BD5" w:themeColor="accent1"/>
              <w14:textFill>
                <w14:solidFill>
                  <w14:schemeClr w14:val="accent1"/>
                </w14:solidFill>
              </w14:textFill>
            </w:rPr>
            <w:drawing>
              <wp:anchor distT="0" distB="0" distL="114300" distR="114300" simplePos="0" relativeHeight="251658240" behindDoc="0" locked="0" layoutInCell="1" allowOverlap="1">
                <wp:simplePos x="0" y="0"/>
                <wp:positionH relativeFrom="page">
                  <wp:align>left</wp:align>
                </wp:positionH>
                <wp:positionV relativeFrom="paragraph">
                  <wp:posOffset>2338705</wp:posOffset>
                </wp:positionV>
                <wp:extent cx="7696200" cy="6648450"/>
                <wp:effectExtent l="0" t="0" r="635" b="0"/>
                <wp:wrapNone/>
                <wp:docPr id="5" name="图片 5"/>
                <wp:cNvGraphicFramePr/>
                <a:graphic xmlns:a="http://schemas.openxmlformats.org/drawingml/2006/main">
                  <a:graphicData uri="http://schemas.openxmlformats.org/drawingml/2006/picture">
                    <pic:pic xmlns:pic="http://schemas.openxmlformats.org/drawingml/2006/picture">
                      <pic:nvPicPr>
                        <pic:cNvPr id="1053332698" name="图片 5"/>
                        <pic:cNvPicPr/>
                      </pic:nvPicPr>
                      <pic:blipFill>
                        <a:blip xmlns:r="http://schemas.openxmlformats.org/officeDocument/2006/relationships" r:embed="rId7">
                          <a:duotone>
                            <a:schemeClr val="accent1">
                              <a:shade val="45000"/>
                              <a:satMod val="135000"/>
                            </a:schemeClr>
                            <a:prstClr val="white"/>
                          </a:duotone>
                          <a:extLst>
                            <a:ext xmlns:a="http://schemas.openxmlformats.org/drawingml/2006/main" uri="{BEBA8EAE-BF5A-486C-A8C5-ECC9F3942E4B}">
                              <a14:imgProps xmlns:a14="http://schemas.microsoft.com/office/drawing/2010/main">
                                <a14:imgLayer xmlns:r="http://schemas.openxmlformats.org/officeDocument/2006/relationships" r:embed="rId7">
                                  <a14:imgEffect>
                                    <a14:brightnessContrast bright="4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7696049" cy="6648255"/>
                        </a:xfrm>
                        <a:prstGeom prst="rect">
                          <a:avLst/>
                        </a:prstGeom>
                      </pic:spPr>
                    </pic:pic>
                  </a:graphicData>
                </a:graphic>
              </wp:anchor>
            </w:drawing>
          </w:r>
          <w:r>
            <w:br w:type="page"/>
          </w:r>
        </w:p>
      </w:sdtContent>
    </w:sdt>
    <w:p>
      <w:pPr>
        <w:ind w:firstLine="560" w:firstLineChars="200"/>
        <w:rPr>
          <w:rFonts w:ascii="宋体" w:hAnsi="宋体"/>
          <w:sz w:val="28"/>
        </w:rPr>
      </w:pPr>
      <w:r>
        <w:rPr>
          <w:rFonts w:ascii="宋体" w:hAnsi="宋体" w:hint="eastAsia"/>
          <w:sz w:val="28"/>
        </w:rPr>
        <w:t>今年在区委、区政府的领导下，高举邓小平理论伟大旗帜，努力实践“三个代表”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面对突如其来的“非典”肆虐，一手抓“非典”防治，一手抓工作，特别是在防治非典的关键时刻，乡、办两级民政工作者，时刻战斗在防治非典的第一线，在出色完成指令性包村工作任务的同时，将防治“非典”的药品，购置的器械及时送到优抚对象和贫困户等弱势群体手中，夺取了防治“非典”的阶段性胜利，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firstLine="420"/>
        <w:rPr>
          <w:rFonts w:ascii="宋体" w:hAnsi="宋体"/>
          <w:b/>
          <w:sz w:val="28"/>
        </w:rPr>
      </w:pPr>
      <w:r>
        <w:rPr>
          <w:rFonts w:ascii="宋体" w:hAnsi="宋体" w:hint="eastAsia"/>
          <w:b/>
          <w:sz w:val="28"/>
        </w:rPr>
        <w:t>一、城市低保和救灾救济方面</w:t>
      </w:r>
    </w:p>
    <w:p>
      <w:pPr>
        <w:ind w:firstLine="560" w:firstLineChars="200"/>
        <w:rPr>
          <w:rFonts w:ascii="宋体" w:hAnsi="宋体"/>
          <w:sz w:val="28"/>
        </w:rPr>
      </w:pPr>
      <w:r>
        <w:rPr>
          <w:rFonts w:ascii="宋体" w:hAnsi="宋体" w:hint="eastAsia"/>
          <w:sz w:val="28"/>
        </w:rPr>
        <w:t>加强低保工作。各级民政部门认真贯彻落实国办发［</w:t>
      </w:r>
      <w:r>
        <w:rPr>
          <w:rFonts w:ascii="宋体" w:hAnsi="宋体" w:hint="eastAsia"/>
          <w:sz w:val="28"/>
          <w:lang w:eastAsia="zh-CN"/>
        </w:rPr>
        <w:t>20XX</w:t>
      </w:r>
      <w:r>
        <w:rPr>
          <w:rFonts w:ascii="宋体" w:hAnsi="宋体" w:hint="eastAsia"/>
          <w:sz w:val="28"/>
        </w:rPr>
        <w:t>］87号文件和盛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劝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firstLine="560" w:firstLineChars="200"/>
        <w:rPr>
          <w:rFonts w:ascii="宋体" w:hAnsi="宋体"/>
          <w:sz w:val="28"/>
        </w:rPr>
      </w:pPr>
      <w:r>
        <w:rPr>
          <w:rFonts w:ascii="宋体" w:hAnsi="宋体" w:hint="eastAsia"/>
          <w:sz w:val="28"/>
        </w:rPr>
        <w:t>积极做好救灾救济工作。</w:t>
      </w:r>
      <w:r>
        <w:rPr>
          <w:rFonts w:ascii="宋体" w:hAnsi="宋体" w:hint="eastAsia"/>
          <w:sz w:val="28"/>
          <w:lang w:eastAsia="zh-CN"/>
        </w:rPr>
        <w:t>20XX</w:t>
      </w:r>
      <w:r>
        <w:rPr>
          <w:rFonts w:ascii="宋体" w:hAnsi="宋体" w:hint="eastAsia"/>
          <w:sz w:val="28"/>
        </w:rPr>
        <w:t>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firstLine="420"/>
        <w:rPr>
          <w:rFonts w:ascii="宋体" w:hAnsi="宋体"/>
          <w:b/>
          <w:sz w:val="28"/>
        </w:rPr>
      </w:pPr>
      <w:r>
        <w:rPr>
          <w:rFonts w:ascii="宋体" w:hAnsi="宋体" w:hint="eastAsia"/>
          <w:b/>
          <w:sz w:val="28"/>
        </w:rPr>
        <w:t>二、社区建设方面</w:t>
      </w:r>
    </w:p>
    <w:p>
      <w:pPr>
        <w:ind w:firstLine="560" w:firstLineChars="200"/>
        <w:rPr>
          <w:rFonts w:ascii="宋体" w:hAnsi="宋体"/>
          <w:sz w:val="28"/>
        </w:rPr>
      </w:pPr>
      <w:r>
        <w:rPr>
          <w:rFonts w:ascii="宋体" w:hAnsi="宋体" w:hint="eastAsia"/>
          <w:sz w:val="28"/>
        </w:rPr>
        <w:t>加强社区建设是巩固城市基层政权，更好地管理城市，服务城市的基础工程，是构建“小政府、大社会”格局的内在要求。为此，我们认真贯彻《中共中央办公厅、国务院办公厅关于转发＜民政部关于在全国推进城市社区建设的意见＞》，在</w:t>
      </w:r>
      <w:r>
        <w:rPr>
          <w:rFonts w:ascii="宋体" w:hAnsi="宋体" w:hint="eastAsia"/>
          <w:sz w:val="28"/>
          <w:lang w:eastAsia="zh-CN"/>
        </w:rPr>
        <w:t>20XX</w:t>
      </w:r>
      <w:r>
        <w:rPr>
          <w:rFonts w:ascii="宋体" w:hAnsi="宋体" w:hint="eastAsia"/>
          <w:sz w:val="28"/>
        </w:rPr>
        <w:t>年大力推进社区建设，成功创建“全国社区建设示范区”的基础上，确立了“抓发展、重建设、上档次、创特色”的发展方向。</w:t>
      </w:r>
    </w:p>
    <w:p>
      <w:pPr>
        <w:ind w:firstLine="560" w:firstLineChars="200"/>
        <w:rPr>
          <w:rFonts w:ascii="宋体" w:hAnsi="宋体"/>
          <w:sz w:val="28"/>
        </w:rPr>
      </w:pPr>
      <w:r>
        <w:rPr>
          <w:rFonts w:ascii="宋体" w:hAnsi="宋体" w:hint="eastAsia"/>
          <w:sz w:val="28"/>
        </w:rPr>
        <w:t>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于近期开工。</w:t>
      </w:r>
    </w:p>
    <w:p>
      <w:pPr>
        <w:ind w:firstLine="560" w:firstLineChars="200"/>
        <w:rPr>
          <w:rFonts w:ascii="宋体" w:hAnsi="宋体"/>
          <w:sz w:val="28"/>
        </w:rPr>
      </w:pPr>
      <w:r>
        <w:rPr>
          <w:rFonts w:ascii="宋体" w:hAnsi="宋体" w:hint="eastAsia"/>
          <w:sz w:val="28"/>
        </w:rPr>
        <w:t>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firstLine="560" w:firstLineChars="200"/>
        <w:rPr>
          <w:rFonts w:ascii="宋体" w:hAnsi="宋体"/>
          <w:sz w:val="28"/>
        </w:rPr>
      </w:pPr>
      <w:r>
        <w:rPr>
          <w:rFonts w:ascii="宋体" w:hAnsi="宋体" w:hint="eastAsia"/>
          <w:sz w:val="28"/>
        </w:rPr>
        <w:t>三是强化队伍建设，提高社区工作者整体素质。严把进人关，广开用人之道，努力把那些政治觉悟高、思想素质好、工作能力强、热心社区居民工作的人才，通过正当途径充实到社区第一线。采取竞争上岗的办法，实行兵选将、将挑兵等行之有效的用人激励机制，鼓励有志于社区建设的机关工作人员到社区第一线去展示才华，实现自己的人生价值。在工作摆布上，大胆放权效责，实行居委会主任负责制，定岗、定责、定目标，进一步理顺和完善了社区管理体制和运行机制，使其充分发挥人才优势，大力发展社区服务、社区文化、社区卫生、社区环境、社区治安等工作，取得了显著成绩。今年9月份，金联华社区居委会主任贺吉华被中共中央组织部、中华人民共和国民政部授予“全国社区优秀工作者荣誉称号”。</w:t>
      </w:r>
    </w:p>
    <w:p>
      <w:pPr>
        <w:ind w:firstLine="560" w:firstLineChars="200"/>
        <w:rPr>
          <w:rFonts w:ascii="宋体" w:hAnsi="宋体"/>
          <w:sz w:val="28"/>
        </w:rPr>
      </w:pPr>
      <w:r>
        <w:rPr>
          <w:rFonts w:ascii="宋体" w:hAnsi="宋体" w:hint="eastAsia"/>
          <w:sz w:val="28"/>
        </w:rPr>
        <w:t>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盛市及各县区有关领导实地查看了*社区、*社区等社区治安大联防工作开展情况，对我区以社区居委会为依托，开展社区治安人员大联防的做法及经验给予了高度评价。</w:t>
      </w:r>
    </w:p>
    <w:p>
      <w:pPr>
        <w:ind w:firstLine="560" w:firstLineChars="200"/>
        <w:rPr>
          <w:rFonts w:ascii="宋体" w:hAnsi="宋体"/>
          <w:sz w:val="28"/>
        </w:rPr>
      </w:pPr>
    </w:p>
    <w:p>
      <w:pPr>
        <w:widowControl/>
        <w:jc w:val="left"/>
      </w:pPr>
      <w:bookmarkStart w:id="0" w:name="_GoBack"/>
      <w:bookmarkEnd w:id="0"/>
    </w:p>
    <w:sectPr>
      <w:pgSz w:w="11906" w:h="16838"/>
      <w:pgMar w:top="1440" w:right="1800" w:bottom="1440" w:left="1800" w:header="851" w:footer="992"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1A"/>
    <w:rsid w:val="00014B1E"/>
    <w:rsid w:val="001821B7"/>
    <w:rsid w:val="001A4318"/>
    <w:rsid w:val="00463F80"/>
    <w:rsid w:val="00504150"/>
    <w:rsid w:val="006256F0"/>
    <w:rsid w:val="00887B61"/>
    <w:rsid w:val="00C5391A"/>
    <w:rsid w:val="00C63252"/>
    <w:rsid w:val="00C666C7"/>
    <w:rsid w:val="39F016B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semiHidden="0" w:unhideWhenUsed="0"/>
    <w:lsdException w:name="Balloon Text"/>
    <w:lsdException w:name="Table Grid" w:semiHidden="0" w:uiPriority="39" w:unhideWhenUsed="0"/>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NoSpacing">
    <w:name w:val="No Spacing"/>
    <w:link w:val="a"/>
    <w:uiPriority w:val="1"/>
    <w:qFormat/>
    <w:rPr>
      <w:rFonts w:asciiTheme="minorHAnsi" w:eastAsiaTheme="minorEastAsia" w:hAnsiTheme="minorHAnsi" w:cstheme="minorBidi"/>
      <w:kern w:val="0"/>
      <w:sz w:val="22"/>
      <w:szCs w:val="22"/>
      <w:lang w:val="en-US" w:eastAsia="zh-CN" w:bidi="ar-SA"/>
    </w:rPr>
  </w:style>
  <w:style w:type="character" w:customStyle="1" w:styleId="a">
    <w:name w:val="无间隔 字符"/>
    <w:basedOn w:val="DefaultParagraphFont"/>
    <w:link w:val="NoSpacing"/>
    <w:uiPriority w:val="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