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380" w:type="dxa"/>
        <w:jc w:val="center"/>
        <w:tblCellSpacing w:w="0" w:type="dxa"/>
        <w:tblInd w:w="0" w:type="dxa"/>
        <w:tblLayout w:type="fixed"/>
        <w:tblCellMar>
          <w:top w:w="0" w:type="dxa"/>
          <w:left w:w="0" w:type="dxa"/>
          <w:bottom w:w="0" w:type="dxa"/>
          <w:right w:w="0" w:type="dxa"/>
        </w:tblCellMar>
      </w:tblPr>
      <w:tblGrid>
        <w:gridCol w:w="10380"/>
      </w:tblGrid>
      <w:tr>
        <w:tblPrEx>
          <w:tblLayout w:type="fixed"/>
          <w:tblCellMar>
            <w:top w:w="0" w:type="dxa"/>
            <w:left w:w="0" w:type="dxa"/>
            <w:bottom w:w="0" w:type="dxa"/>
            <w:right w:w="0" w:type="dxa"/>
          </w:tblCellMar>
        </w:tblPrEx>
        <w:trPr>
          <w:trHeight w:val="495" w:hRule="atLeast"/>
          <w:tblCellSpacing w:w="0" w:type="dxa"/>
          <w:jc w:val="center"/>
        </w:trPr>
        <w:tc>
          <w:tcPr>
            <w:tcW w:w="10380" w:type="dxa"/>
            <w:shd w:val="clear" w:color="auto" w:fill="F0F0F0"/>
            <w:vAlign w:val="center"/>
          </w:tcPr>
          <w:p>
            <w:pPr>
              <w:widowControl/>
              <w:jc w:val="center"/>
              <w:rPr>
                <w:rFonts w:hint="eastAsia" w:ascii="宋体" w:hAnsi="宋体" w:eastAsia="宋体" w:cs="宋体"/>
                <w:color w:val="1A1A1A"/>
                <w:kern w:val="0"/>
                <w:sz w:val="24"/>
                <w:szCs w:val="24"/>
              </w:rPr>
            </w:pPr>
            <w:r>
              <w:rPr>
                <w:rFonts w:hint="eastAsia" w:ascii="宋体" w:hAnsi="宋体" w:eastAsia="宋体" w:cs="宋体"/>
                <w:b/>
                <w:bCs/>
                <w:color w:val="1A1A1A"/>
                <w:kern w:val="0"/>
                <w:sz w:val="24"/>
                <w:szCs w:val="24"/>
                <w:lang w:val="en-US" w:eastAsia="zh-CN"/>
              </w:rPr>
              <w:t>xxx</w:t>
            </w:r>
            <w:r>
              <w:rPr>
                <w:rFonts w:hint="eastAsia" w:ascii="宋体" w:hAnsi="宋体" w:eastAsia="宋体" w:cs="宋体"/>
                <w:b/>
                <w:bCs/>
                <w:color w:val="1A1A1A"/>
                <w:kern w:val="0"/>
                <w:sz w:val="24"/>
                <w:szCs w:val="24"/>
              </w:rPr>
              <w:t>管理区果蔬深加工项目招商计划书</w:t>
            </w:r>
          </w:p>
        </w:tc>
      </w:tr>
      <w:tr>
        <w:tblPrEx>
          <w:tblLayout w:type="fixed"/>
          <w:tblCellMar>
            <w:top w:w="0" w:type="dxa"/>
            <w:left w:w="0" w:type="dxa"/>
            <w:bottom w:w="0" w:type="dxa"/>
            <w:right w:w="0" w:type="dxa"/>
          </w:tblCellMar>
        </w:tblPrEx>
        <w:trPr>
          <w:trHeight w:val="570" w:hRule="atLeast"/>
          <w:tblCellSpacing w:w="0" w:type="dxa"/>
          <w:jc w:val="center"/>
        </w:trPr>
        <w:tc>
          <w:tcPr>
            <w:tcW w:w="10380" w:type="dxa"/>
            <w:vAlign w:val="center"/>
          </w:tcPr>
          <w:p>
            <w:pPr>
              <w:widowControl/>
              <w:jc w:val="center"/>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20</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-12-24</w:t>
            </w:r>
          </w:p>
        </w:tc>
      </w:tr>
      <w:tr>
        <w:tblPrEx>
          <w:tblLayout w:type="fixed"/>
          <w:tblCellMar>
            <w:top w:w="0" w:type="dxa"/>
            <w:left w:w="0" w:type="dxa"/>
            <w:bottom w:w="0" w:type="dxa"/>
            <w:right w:w="0" w:type="dxa"/>
          </w:tblCellMar>
        </w:tblPrEx>
        <w:trPr>
          <w:tblCellSpacing w:w="0" w:type="dxa"/>
          <w:jc w:val="center"/>
        </w:trPr>
        <w:tc>
          <w:tcPr>
            <w:tcW w:w="10380" w:type="dxa"/>
          </w:tcPr>
          <w:p>
            <w:pPr>
              <w:widowControl/>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 xml:space="preserve">  </w:t>
            </w:r>
          </w:p>
          <w:p>
            <w:pPr>
              <w:widowControl/>
              <w:spacing w:before="100" w:beforeAutospacing="1" w:after="100" w:afterAutospacing="1"/>
              <w:jc w:val="center"/>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lang w:val="en-US" w:eastAsia="zh-CN"/>
              </w:rPr>
              <w:t>xxx</w:t>
            </w:r>
            <w:r>
              <w:rPr>
                <w:rFonts w:hint="eastAsia" w:ascii="宋体" w:hAnsi="宋体" w:eastAsia="宋体" w:cs="宋体"/>
                <w:color w:val="1A1A1A"/>
                <w:kern w:val="0"/>
                <w:sz w:val="18"/>
                <w:szCs w:val="18"/>
              </w:rPr>
              <w:t>管理区果蔬深加工项目招商计划书</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 </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项目建设背景</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随着我国经济发展与国际市场的接轨，生活观念和消费观念发生变化，人类生活水平不断提高，对果蔬产品的需求向多品种、安全、卫生和营养方便等综合方向发展。果蔬深加工产品在人们生活中占有重要地位，方便、快捷的食品越来越受到人们的青睐。果蔬产业由于其突出的比较效益和市场竞争优势，已成为农业种植业结构调整中的主导产业之一，也是农业增效、农民增收的主要途径之一。因此，本项目产品具有十分广阔的市场前景。</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lang w:val="en-US" w:eastAsia="zh-CN"/>
              </w:rPr>
              <w:t>xxx</w:t>
            </w:r>
            <w:r>
              <w:rPr>
                <w:rFonts w:hint="eastAsia" w:ascii="宋体" w:hAnsi="宋体" w:eastAsia="宋体" w:cs="宋体"/>
                <w:color w:val="1A1A1A"/>
                <w:kern w:val="0"/>
                <w:sz w:val="18"/>
                <w:szCs w:val="18"/>
              </w:rPr>
              <w:t>管理区位于</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市南部，毗邻</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，是</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省特别是</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市出入沿海地区的南大门，是农业部绿色食品生产基地、无公害农产品生产基地。 20</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年7月“回峰”柑桔、蜜本南瓜、茶叶获国家农业部无公害食品认证，20</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年12月，“回峰”柑桔获</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省著名商标。另周边半径100公里范围内附近各县有近2万公顷的柑桔、橙类及其它水果，有蔬菜基地1.4万公顷。区内有各种农产品，品质独特、产量丰富，能为农产品深加工提供充足的原料，供国内外客商投资办厂。</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项目建设可行性分析</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在</w:t>
            </w:r>
            <w:r>
              <w:rPr>
                <w:rFonts w:hint="eastAsia" w:ascii="宋体" w:hAnsi="宋体" w:eastAsia="宋体" w:cs="宋体"/>
                <w:color w:val="1A1A1A"/>
                <w:kern w:val="0"/>
                <w:sz w:val="18"/>
                <w:szCs w:val="18"/>
                <w:lang w:val="en-US" w:eastAsia="zh-CN"/>
              </w:rPr>
              <w:t>xxx</w:t>
            </w:r>
            <w:r>
              <w:rPr>
                <w:rFonts w:hint="eastAsia" w:ascii="宋体" w:hAnsi="宋体" w:eastAsia="宋体" w:cs="宋体"/>
                <w:color w:val="1A1A1A"/>
                <w:kern w:val="0"/>
                <w:sz w:val="18"/>
                <w:szCs w:val="18"/>
              </w:rPr>
              <w:t>管理区投资果蔬深加工项目符合国家优化调整农业产业结构的发展方向，</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市、</w:t>
            </w:r>
            <w:r>
              <w:rPr>
                <w:rFonts w:hint="eastAsia" w:ascii="宋体" w:hAnsi="宋体" w:eastAsia="宋体" w:cs="宋体"/>
                <w:color w:val="1A1A1A"/>
                <w:kern w:val="0"/>
                <w:sz w:val="18"/>
                <w:szCs w:val="18"/>
                <w:lang w:val="en-US" w:eastAsia="zh-CN"/>
              </w:rPr>
              <w:t>xxx</w:t>
            </w:r>
            <w:r>
              <w:rPr>
                <w:rFonts w:hint="eastAsia" w:ascii="宋体" w:hAnsi="宋体" w:eastAsia="宋体" w:cs="宋体"/>
                <w:color w:val="1A1A1A"/>
                <w:kern w:val="0"/>
                <w:sz w:val="18"/>
                <w:szCs w:val="18"/>
              </w:rPr>
              <w:t>管理区将给予全方位的协调服务和大力支持，享受各项优惠政策。</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1、区域优势</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永富二级公路从</w:t>
            </w:r>
            <w:r>
              <w:rPr>
                <w:rFonts w:hint="eastAsia" w:ascii="宋体" w:hAnsi="宋体" w:eastAsia="宋体" w:cs="宋体"/>
                <w:color w:val="1A1A1A"/>
                <w:kern w:val="0"/>
                <w:sz w:val="18"/>
                <w:szCs w:val="18"/>
                <w:lang w:val="en-US" w:eastAsia="zh-CN"/>
              </w:rPr>
              <w:t>xxx</w:t>
            </w:r>
            <w:r>
              <w:rPr>
                <w:rFonts w:hint="eastAsia" w:ascii="宋体" w:hAnsi="宋体" w:eastAsia="宋体" w:cs="宋体"/>
                <w:color w:val="1A1A1A"/>
                <w:kern w:val="0"/>
                <w:sz w:val="18"/>
                <w:szCs w:val="18"/>
              </w:rPr>
              <w:t>管理区穿境而过，永贺高速公路在管理区南部永济亭办事处设置互通，距洛湛铁路仅20公里，离</w:t>
            </w:r>
            <w:r>
              <w:rPr>
                <w:rFonts w:hint="eastAsia" w:ascii="宋体" w:hAnsi="宋体" w:eastAsia="宋体" w:cs="宋体"/>
                <w:color w:val="1A1A1A"/>
                <w:kern w:val="0"/>
                <w:sz w:val="18"/>
                <w:szCs w:val="18"/>
                <w:lang w:val="en-US" w:eastAsia="zh-CN"/>
              </w:rPr>
              <w:t>xxxx</w:t>
            </w:r>
            <w:r>
              <w:rPr>
                <w:rFonts w:hint="eastAsia" w:ascii="宋体" w:hAnsi="宋体" w:eastAsia="宋体" w:cs="宋体"/>
                <w:color w:val="1A1A1A"/>
                <w:kern w:val="0"/>
                <w:sz w:val="18"/>
                <w:szCs w:val="18"/>
              </w:rPr>
              <w:t>国际机场、</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机场都仅190公里。有高速公路连通永州、长沙、贺州、广州等地，距贺州100公里，广州470公里，长沙500公里，交通四通八达。</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2、建设规模及内容</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    （1）建设规模</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    建成一个大型综合性的果蔬农产品深加工基地，实行多种农产品深加工，年吞吐量20万吨，产值36200万元。</w:t>
            </w:r>
            <w:r>
              <w:rPr>
                <w:rFonts w:hint="eastAsia" w:ascii="宋体" w:hAnsi="宋体" w:eastAsia="宋体" w:cs="宋体"/>
                <w:color w:val="1A1A1A"/>
                <w:kern w:val="0"/>
                <w:sz w:val="18"/>
                <w:szCs w:val="18"/>
              </w:rPr>
              <w:br w:type="textWrapping"/>
            </w:r>
            <w:r>
              <w:rPr>
                <w:rFonts w:hint="eastAsia" w:ascii="宋体" w:hAnsi="宋体" w:eastAsia="宋体" w:cs="宋体"/>
                <w:color w:val="1A1A1A"/>
                <w:kern w:val="0"/>
                <w:sz w:val="18"/>
                <w:szCs w:val="18"/>
              </w:rPr>
              <w:t>     （2）建设内容</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    项目占地406亩，其中：①建设罐头厂占地87500平方米，引进配套生产设备、环保设施，引进电脑全自动制罐、罐装设备等，项目总投资6028万元，生产果冻、水果罐头、蔬菜罐头等产品；②建设万吨果汁厂项目，占地面积58400平方米，以各种果蔬为原料，生产瓶装或罐装天然果汁饮料，总投资5000万元；③建设规模为万吨气调冷库，贮存温度为0°C～5°C，库内设计冷风机系统，由冷冻站利用液氨蒸发吸热的原理制冷。主要设备：50万大卡/小时的制冷机组2台及其它配套制冷设备。占地面积54000平方米，项目总投资6900万元；④建设万吨红薯淀粉深加工项目，占地总面积32600平方米，以红薯、木薯等为原料，项目总投资650万元；⑤年产6000吨果蔬脆片项目，项目占地面积38400平方米，采用多种新鲜水果、蔬菜、经真空低温油炸而制成的一种果蔬方便食品，总投资4500万元。</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3、财务分析</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项目建设总投资23078万元人民币，其中：以厂房、厂地、水、电、交通等基础设施建设投资9231万元人民币，占总投资40%，全部由政府负责；自筹13847万元，占总投资60%。具体见下表：</w:t>
            </w:r>
          </w:p>
          <w:p>
            <w:pPr>
              <w:widowControl/>
              <w:spacing w:before="100" w:beforeAutospacing="1" w:after="100" w:afterAutospacing="1"/>
              <w:jc w:val="center"/>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lang w:val="en-US" w:eastAsia="zh-CN"/>
              </w:rPr>
              <w:t>xxx</w:t>
            </w:r>
            <w:r>
              <w:rPr>
                <w:rFonts w:hint="eastAsia" w:ascii="宋体" w:hAnsi="宋体" w:eastAsia="宋体" w:cs="宋体"/>
                <w:color w:val="1A1A1A"/>
                <w:kern w:val="0"/>
                <w:sz w:val="18"/>
                <w:szCs w:val="18"/>
              </w:rPr>
              <w:t>管理区果蔬深加工项目表</w:t>
            </w:r>
          </w:p>
          <w:p>
            <w:pPr>
              <w:widowControl/>
              <w:spacing w:before="100" w:beforeAutospacing="1" w:after="100" w:afterAutospacing="1"/>
              <w:jc w:val="center"/>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 </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单位:万元、万吨</w:t>
            </w:r>
          </w:p>
          <w:tbl>
            <w:tblPr>
              <w:tblStyle w:val="5"/>
              <w:tblW w:w="8928" w:type="dxa"/>
              <w:tblInd w:w="0" w:type="dxa"/>
              <w:tblLayout w:type="fixed"/>
              <w:tblCellMar>
                <w:top w:w="0" w:type="dxa"/>
                <w:left w:w="108" w:type="dxa"/>
                <w:bottom w:w="0" w:type="dxa"/>
                <w:right w:w="108" w:type="dxa"/>
              </w:tblCellMar>
            </w:tblPr>
            <w:tblGrid>
              <w:gridCol w:w="658"/>
              <w:gridCol w:w="1639"/>
              <w:gridCol w:w="1080"/>
              <w:gridCol w:w="1260"/>
              <w:gridCol w:w="1051"/>
              <w:gridCol w:w="1260"/>
              <w:gridCol w:w="1080"/>
              <w:gridCol w:w="900"/>
            </w:tblGrid>
            <w:tr>
              <w:tblPrEx>
                <w:tblLayout w:type="fixed"/>
                <w:tblCellMar>
                  <w:top w:w="0" w:type="dxa"/>
                  <w:left w:w="108" w:type="dxa"/>
                  <w:bottom w:w="0" w:type="dxa"/>
                  <w:right w:w="108" w:type="dxa"/>
                </w:tblCellMar>
              </w:tblPrEx>
              <w:trPr>
                <w:trHeight w:val="285" w:hRule="atLeast"/>
              </w:trPr>
              <w:tc>
                <w:tcPr>
                  <w:tcW w:w="658" w:type="dxa"/>
                  <w:tcBorders>
                    <w:top w:val="single" w:color="auto" w:sz="4" w:space="0"/>
                    <w:left w:val="single" w:color="auto" w:sz="4" w:space="0"/>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序号</w:t>
                  </w:r>
                </w:p>
              </w:tc>
              <w:tc>
                <w:tcPr>
                  <w:tcW w:w="1639" w:type="dxa"/>
                  <w:tcBorders>
                    <w:top w:val="single" w:color="auto" w:sz="4" w:space="0"/>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000000"/>
                      <w:kern w:val="0"/>
                      <w:sz w:val="24"/>
                      <w:szCs w:val="24"/>
                    </w:rPr>
                    <w:t>项目</w:t>
                  </w:r>
                </w:p>
              </w:tc>
              <w:tc>
                <w:tcPr>
                  <w:tcW w:w="1080" w:type="dxa"/>
                  <w:tcBorders>
                    <w:top w:val="single" w:color="auto" w:sz="4" w:space="0"/>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000000"/>
                      <w:kern w:val="0"/>
                      <w:sz w:val="24"/>
                      <w:szCs w:val="24"/>
                    </w:rPr>
                    <w:t>总投资</w:t>
                  </w:r>
                </w:p>
              </w:tc>
              <w:tc>
                <w:tcPr>
                  <w:tcW w:w="1260" w:type="dxa"/>
                  <w:tcBorders>
                    <w:top w:val="single" w:color="auto" w:sz="4" w:space="0"/>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000000"/>
                      <w:kern w:val="0"/>
                      <w:sz w:val="24"/>
                      <w:szCs w:val="24"/>
                    </w:rPr>
                    <w:t>自筹资金</w:t>
                  </w:r>
                </w:p>
              </w:tc>
              <w:tc>
                <w:tcPr>
                  <w:tcW w:w="1051" w:type="dxa"/>
                  <w:tcBorders>
                    <w:top w:val="single" w:color="auto" w:sz="4" w:space="0"/>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年加工果蔬</w:t>
                  </w:r>
                </w:p>
              </w:tc>
              <w:tc>
                <w:tcPr>
                  <w:tcW w:w="1260" w:type="dxa"/>
                  <w:tcBorders>
                    <w:top w:val="single" w:color="auto" w:sz="4" w:space="0"/>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年产值</w:t>
                  </w:r>
                </w:p>
              </w:tc>
              <w:tc>
                <w:tcPr>
                  <w:tcW w:w="1080" w:type="dxa"/>
                  <w:tcBorders>
                    <w:top w:val="single" w:color="auto" w:sz="4" w:space="0"/>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年利润</w:t>
                  </w:r>
                </w:p>
              </w:tc>
              <w:tc>
                <w:tcPr>
                  <w:tcW w:w="900" w:type="dxa"/>
                  <w:tcBorders>
                    <w:top w:val="single" w:color="auto" w:sz="4" w:space="0"/>
                    <w:left w:val="nil"/>
                    <w:bottom w:val="single" w:color="auto" w:sz="4" w:space="0"/>
                    <w:right w:val="single" w:color="auto" w:sz="4" w:space="0"/>
                  </w:tcBorders>
                  <w:noWrap/>
                  <w:vAlign w:val="center"/>
                </w:tcPr>
                <w:p>
                  <w:pPr>
                    <w:widowControl/>
                    <w:spacing w:before="100" w:beforeAutospacing="1" w:after="100" w:afterAutospacing="1"/>
                    <w:jc w:val="left"/>
                    <w:rPr>
                      <w:rFonts w:hint="eastAsia" w:ascii="宋体" w:hAnsi="宋体" w:eastAsia="宋体" w:cs="宋体"/>
                      <w:color w:val="1A1A1A"/>
                      <w:kern w:val="0"/>
                      <w:sz w:val="24"/>
                      <w:szCs w:val="24"/>
                    </w:rPr>
                  </w:pPr>
                  <w:r>
                    <w:rPr>
                      <w:rFonts w:hint="eastAsia" w:ascii="宋体" w:hAnsi="宋体" w:eastAsia="宋体" w:cs="宋体"/>
                      <w:color w:val="1A1A1A"/>
                      <w:kern w:val="0"/>
                      <w:sz w:val="24"/>
                      <w:szCs w:val="21"/>
                    </w:rPr>
                    <w:t>投资回收期</w:t>
                  </w:r>
                </w:p>
              </w:tc>
            </w:tr>
            <w:tr>
              <w:tblPrEx>
                <w:tblLayout w:type="fixed"/>
                <w:tblCellMar>
                  <w:top w:w="0" w:type="dxa"/>
                  <w:left w:w="108" w:type="dxa"/>
                  <w:bottom w:w="0" w:type="dxa"/>
                  <w:right w:w="108" w:type="dxa"/>
                </w:tblCellMar>
              </w:tblPrEx>
              <w:trPr>
                <w:trHeight w:val="375" w:hRule="atLeast"/>
              </w:trPr>
              <w:tc>
                <w:tcPr>
                  <w:tcW w:w="658" w:type="dxa"/>
                  <w:tcBorders>
                    <w:top w:val="nil"/>
                    <w:left w:val="single" w:color="auto" w:sz="4" w:space="0"/>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1</w:t>
                  </w:r>
                </w:p>
              </w:tc>
              <w:tc>
                <w:tcPr>
                  <w:tcW w:w="1639"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000000"/>
                      <w:kern w:val="0"/>
                      <w:sz w:val="28"/>
                      <w:szCs w:val="28"/>
                    </w:rPr>
                    <w:t>罐头厂</w:t>
                  </w:r>
                </w:p>
              </w:tc>
              <w:tc>
                <w:tcPr>
                  <w:tcW w:w="108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6028</w:t>
                  </w:r>
                </w:p>
              </w:tc>
              <w:tc>
                <w:tcPr>
                  <w:tcW w:w="126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3617</w:t>
                  </w:r>
                </w:p>
              </w:tc>
              <w:tc>
                <w:tcPr>
                  <w:tcW w:w="1051"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10</w:t>
                  </w:r>
                </w:p>
              </w:tc>
              <w:tc>
                <w:tcPr>
                  <w:tcW w:w="126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10000</w:t>
                  </w:r>
                </w:p>
              </w:tc>
              <w:tc>
                <w:tcPr>
                  <w:tcW w:w="108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1300</w:t>
                  </w:r>
                </w:p>
              </w:tc>
              <w:tc>
                <w:tcPr>
                  <w:tcW w:w="90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5年</w:t>
                  </w:r>
                </w:p>
              </w:tc>
            </w:tr>
            <w:tr>
              <w:tblPrEx>
                <w:tblLayout w:type="fixed"/>
                <w:tblCellMar>
                  <w:top w:w="0" w:type="dxa"/>
                  <w:left w:w="108" w:type="dxa"/>
                  <w:bottom w:w="0" w:type="dxa"/>
                  <w:right w:w="108" w:type="dxa"/>
                </w:tblCellMar>
              </w:tblPrEx>
              <w:trPr>
                <w:trHeight w:val="375" w:hRule="atLeast"/>
              </w:trPr>
              <w:tc>
                <w:tcPr>
                  <w:tcW w:w="658" w:type="dxa"/>
                  <w:tcBorders>
                    <w:top w:val="nil"/>
                    <w:left w:val="single" w:color="auto" w:sz="4" w:space="0"/>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2</w:t>
                  </w:r>
                </w:p>
              </w:tc>
              <w:tc>
                <w:tcPr>
                  <w:tcW w:w="1639"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000000"/>
                      <w:kern w:val="0"/>
                      <w:sz w:val="28"/>
                      <w:szCs w:val="28"/>
                    </w:rPr>
                    <w:t>果汁厂</w:t>
                  </w:r>
                </w:p>
              </w:tc>
              <w:tc>
                <w:tcPr>
                  <w:tcW w:w="108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8"/>
                      <w:szCs w:val="28"/>
                    </w:rPr>
                    <w:t>5000</w:t>
                  </w:r>
                </w:p>
              </w:tc>
              <w:tc>
                <w:tcPr>
                  <w:tcW w:w="126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3000</w:t>
                  </w:r>
                </w:p>
              </w:tc>
              <w:tc>
                <w:tcPr>
                  <w:tcW w:w="1051"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4</w:t>
                  </w:r>
                </w:p>
              </w:tc>
              <w:tc>
                <w:tcPr>
                  <w:tcW w:w="126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8000</w:t>
                  </w:r>
                </w:p>
              </w:tc>
              <w:tc>
                <w:tcPr>
                  <w:tcW w:w="108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1080</w:t>
                  </w:r>
                </w:p>
              </w:tc>
              <w:tc>
                <w:tcPr>
                  <w:tcW w:w="90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5年</w:t>
                  </w:r>
                </w:p>
              </w:tc>
            </w:tr>
            <w:tr>
              <w:tblPrEx>
                <w:tblLayout w:type="fixed"/>
                <w:tblCellMar>
                  <w:top w:w="0" w:type="dxa"/>
                  <w:left w:w="108" w:type="dxa"/>
                  <w:bottom w:w="0" w:type="dxa"/>
                  <w:right w:w="108" w:type="dxa"/>
                </w:tblCellMar>
              </w:tblPrEx>
              <w:trPr>
                <w:trHeight w:val="375" w:hRule="atLeast"/>
              </w:trPr>
              <w:tc>
                <w:tcPr>
                  <w:tcW w:w="658" w:type="dxa"/>
                  <w:tcBorders>
                    <w:top w:val="nil"/>
                    <w:left w:val="single" w:color="auto" w:sz="4" w:space="0"/>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3</w:t>
                  </w:r>
                </w:p>
              </w:tc>
              <w:tc>
                <w:tcPr>
                  <w:tcW w:w="1639"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8"/>
                      <w:szCs w:val="28"/>
                    </w:rPr>
                    <w:t>冷库</w:t>
                  </w:r>
                  <w:bookmarkStart w:id="0" w:name="_GoBack"/>
                  <w:bookmarkEnd w:id="0"/>
                </w:p>
              </w:tc>
              <w:tc>
                <w:tcPr>
                  <w:tcW w:w="108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000000"/>
                      <w:kern w:val="0"/>
                      <w:sz w:val="28"/>
                      <w:szCs w:val="28"/>
                    </w:rPr>
                    <w:t>6900</w:t>
                  </w:r>
                </w:p>
              </w:tc>
              <w:tc>
                <w:tcPr>
                  <w:tcW w:w="126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4140</w:t>
                  </w:r>
                </w:p>
              </w:tc>
              <w:tc>
                <w:tcPr>
                  <w:tcW w:w="1051"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2.4</w:t>
                  </w:r>
                </w:p>
              </w:tc>
              <w:tc>
                <w:tcPr>
                  <w:tcW w:w="126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9000</w:t>
                  </w:r>
                </w:p>
              </w:tc>
              <w:tc>
                <w:tcPr>
                  <w:tcW w:w="108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1800</w:t>
                  </w:r>
                </w:p>
              </w:tc>
              <w:tc>
                <w:tcPr>
                  <w:tcW w:w="90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4年</w:t>
                  </w:r>
                </w:p>
              </w:tc>
            </w:tr>
            <w:tr>
              <w:tblPrEx>
                <w:tblLayout w:type="fixed"/>
                <w:tblCellMar>
                  <w:top w:w="0" w:type="dxa"/>
                  <w:left w:w="108" w:type="dxa"/>
                  <w:bottom w:w="0" w:type="dxa"/>
                  <w:right w:w="108" w:type="dxa"/>
                </w:tblCellMar>
              </w:tblPrEx>
              <w:trPr>
                <w:trHeight w:val="375" w:hRule="atLeast"/>
              </w:trPr>
              <w:tc>
                <w:tcPr>
                  <w:tcW w:w="658" w:type="dxa"/>
                  <w:tcBorders>
                    <w:top w:val="nil"/>
                    <w:left w:val="single" w:color="auto" w:sz="4" w:space="0"/>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4</w:t>
                  </w:r>
                </w:p>
              </w:tc>
              <w:tc>
                <w:tcPr>
                  <w:tcW w:w="1639"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8"/>
                      <w:szCs w:val="28"/>
                    </w:rPr>
                    <w:t>淀粉深加工</w:t>
                  </w:r>
                </w:p>
              </w:tc>
              <w:tc>
                <w:tcPr>
                  <w:tcW w:w="108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8"/>
                      <w:szCs w:val="28"/>
                    </w:rPr>
                    <w:t>650</w:t>
                  </w:r>
                </w:p>
              </w:tc>
              <w:tc>
                <w:tcPr>
                  <w:tcW w:w="126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390</w:t>
                  </w:r>
                </w:p>
              </w:tc>
              <w:tc>
                <w:tcPr>
                  <w:tcW w:w="1051"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3</w:t>
                  </w:r>
                </w:p>
              </w:tc>
              <w:tc>
                <w:tcPr>
                  <w:tcW w:w="126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2400</w:t>
                  </w:r>
                </w:p>
              </w:tc>
              <w:tc>
                <w:tcPr>
                  <w:tcW w:w="108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220</w:t>
                  </w:r>
                </w:p>
              </w:tc>
              <w:tc>
                <w:tcPr>
                  <w:tcW w:w="90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3年</w:t>
                  </w:r>
                </w:p>
              </w:tc>
            </w:tr>
            <w:tr>
              <w:tblPrEx>
                <w:tblLayout w:type="fixed"/>
                <w:tblCellMar>
                  <w:top w:w="0" w:type="dxa"/>
                  <w:left w:w="108" w:type="dxa"/>
                  <w:bottom w:w="0" w:type="dxa"/>
                  <w:right w:w="108" w:type="dxa"/>
                </w:tblCellMar>
              </w:tblPrEx>
              <w:trPr>
                <w:trHeight w:val="375" w:hRule="atLeast"/>
              </w:trPr>
              <w:tc>
                <w:tcPr>
                  <w:tcW w:w="658" w:type="dxa"/>
                  <w:tcBorders>
                    <w:top w:val="nil"/>
                    <w:left w:val="single" w:color="auto" w:sz="4" w:space="0"/>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5</w:t>
                  </w:r>
                </w:p>
              </w:tc>
              <w:tc>
                <w:tcPr>
                  <w:tcW w:w="1639"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000000"/>
                      <w:kern w:val="0"/>
                      <w:sz w:val="28"/>
                      <w:szCs w:val="28"/>
                    </w:rPr>
                    <w:t>果蔬脆片</w:t>
                  </w:r>
                </w:p>
              </w:tc>
              <w:tc>
                <w:tcPr>
                  <w:tcW w:w="108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000000"/>
                      <w:kern w:val="0"/>
                      <w:sz w:val="28"/>
                      <w:szCs w:val="28"/>
                    </w:rPr>
                    <w:t>4500</w:t>
                  </w:r>
                </w:p>
              </w:tc>
              <w:tc>
                <w:tcPr>
                  <w:tcW w:w="126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2700</w:t>
                  </w:r>
                </w:p>
              </w:tc>
              <w:tc>
                <w:tcPr>
                  <w:tcW w:w="1051"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0.6</w:t>
                  </w:r>
                </w:p>
              </w:tc>
              <w:tc>
                <w:tcPr>
                  <w:tcW w:w="126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6800</w:t>
                  </w:r>
                </w:p>
              </w:tc>
              <w:tc>
                <w:tcPr>
                  <w:tcW w:w="108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1200</w:t>
                  </w:r>
                </w:p>
              </w:tc>
              <w:tc>
                <w:tcPr>
                  <w:tcW w:w="90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4年</w:t>
                  </w:r>
                </w:p>
              </w:tc>
            </w:tr>
            <w:tr>
              <w:tblPrEx>
                <w:tblLayout w:type="fixed"/>
                <w:tblCellMar>
                  <w:top w:w="0" w:type="dxa"/>
                  <w:left w:w="108" w:type="dxa"/>
                  <w:bottom w:w="0" w:type="dxa"/>
                  <w:right w:w="108" w:type="dxa"/>
                </w:tblCellMar>
              </w:tblPrEx>
              <w:trPr>
                <w:trHeight w:val="285" w:hRule="atLeast"/>
              </w:trPr>
              <w:tc>
                <w:tcPr>
                  <w:tcW w:w="658" w:type="dxa"/>
                  <w:tcBorders>
                    <w:top w:val="nil"/>
                    <w:left w:val="single" w:color="auto" w:sz="4" w:space="0"/>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　</w:t>
                  </w:r>
                </w:p>
              </w:tc>
              <w:tc>
                <w:tcPr>
                  <w:tcW w:w="1639"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合计</w:t>
                  </w:r>
                </w:p>
              </w:tc>
              <w:tc>
                <w:tcPr>
                  <w:tcW w:w="108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23078</w:t>
                  </w:r>
                </w:p>
              </w:tc>
              <w:tc>
                <w:tcPr>
                  <w:tcW w:w="126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13847</w:t>
                  </w:r>
                </w:p>
              </w:tc>
              <w:tc>
                <w:tcPr>
                  <w:tcW w:w="1051"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20</w:t>
                  </w:r>
                </w:p>
              </w:tc>
              <w:tc>
                <w:tcPr>
                  <w:tcW w:w="126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36200</w:t>
                  </w:r>
                </w:p>
              </w:tc>
              <w:tc>
                <w:tcPr>
                  <w:tcW w:w="1080"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5600</w:t>
                  </w:r>
                </w:p>
              </w:tc>
              <w:tc>
                <w:tcPr>
                  <w:tcW w:w="900" w:type="dxa"/>
                  <w:tcBorders>
                    <w:top w:val="nil"/>
                    <w:left w:val="nil"/>
                    <w:bottom w:val="single" w:color="auto" w:sz="4" w:space="0"/>
                    <w:right w:val="single" w:color="auto" w:sz="4" w:space="0"/>
                  </w:tcBorders>
                  <w:noWrap/>
                  <w:vAlign w:val="center"/>
                </w:tcPr>
                <w:p>
                  <w:pPr>
                    <w:widowControl/>
                    <w:spacing w:before="100" w:beforeAutospacing="1" w:after="100" w:afterAutospacing="1"/>
                    <w:ind w:firstLine="120" w:firstLineChars="50"/>
                    <w:jc w:val="left"/>
                    <w:rPr>
                      <w:rFonts w:hint="eastAsia" w:ascii="宋体" w:hAnsi="宋体" w:eastAsia="宋体" w:cs="宋体"/>
                      <w:color w:val="1A1A1A"/>
                      <w:kern w:val="0"/>
                      <w:sz w:val="24"/>
                      <w:szCs w:val="24"/>
                    </w:rPr>
                  </w:pPr>
                  <w:r>
                    <w:rPr>
                      <w:rFonts w:hint="eastAsia" w:ascii="宋体" w:hAnsi="宋体" w:eastAsia="宋体" w:cs="宋体"/>
                      <w:color w:val="1A1A1A"/>
                      <w:kern w:val="0"/>
                      <w:sz w:val="24"/>
                      <w:szCs w:val="24"/>
                    </w:rPr>
                    <w:t>4年</w:t>
                  </w:r>
                </w:p>
              </w:tc>
            </w:tr>
          </w:tbl>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 </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随着人们生活水平的提高，天然果汁饮品、罐头等深加工农产品越来越受到消费者的青睐，对高品质的绿色食物需求量越来越大，目前大中城市供不应求，特别是淡季基本没有上市。中国国内的天然果汁需求以每年13％的速度递增。在欧美、日本等市场也是逐年递增，产品市场良好，前景广阔。</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项目投资风险分析</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项目建设完成投入生产，每年可加工果蔬农产品20万吨，产值36200万元人民币，利润5600万元人民币，税收2000万元人民币。</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对绿色农产品进行深加工，可促进农业规模产业生产发展，提高农产品的经济价值。果蔬农产品通过深加工成为商品进入市场流通，刺激农业生产发展，促使农业产业结构朝着持续、健康的方向调整，具有良好社会效益和经济效益，对改善和提高人民生活具有十分重要的意义。此项目符合国家产业发展政策，属国家“十一五”计划重点发展产业，涉及三农利益，受国家重点保护，无风险。</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  可提供条件</w:t>
            </w:r>
            <w:r>
              <w:rPr>
                <w:rFonts w:hint="eastAsia" w:ascii="宋体" w:hAnsi="宋体" w:eastAsia="宋体" w:cs="宋体"/>
                <w:color w:val="1A1A1A"/>
                <w:kern w:val="0"/>
                <w:sz w:val="18"/>
                <w:szCs w:val="18"/>
              </w:rPr>
              <w:br w:type="textWrapping"/>
            </w:r>
            <w:r>
              <w:rPr>
                <w:rFonts w:hint="eastAsia" w:ascii="宋体" w:hAnsi="宋体" w:eastAsia="宋体" w:cs="宋体"/>
                <w:color w:val="1A1A1A"/>
                <w:kern w:val="0"/>
                <w:sz w:val="18"/>
                <w:szCs w:val="18"/>
              </w:rPr>
              <w:t>        1、</w:t>
            </w:r>
            <w:r>
              <w:rPr>
                <w:rFonts w:hint="eastAsia" w:ascii="宋体" w:hAnsi="宋体" w:eastAsia="宋体" w:cs="宋体"/>
                <w:color w:val="1A1A1A"/>
                <w:kern w:val="0"/>
                <w:sz w:val="18"/>
                <w:szCs w:val="18"/>
                <w:lang w:val="en-US" w:eastAsia="zh-CN"/>
              </w:rPr>
              <w:t>xxx</w:t>
            </w:r>
            <w:r>
              <w:rPr>
                <w:rFonts w:hint="eastAsia" w:ascii="宋体" w:hAnsi="宋体" w:eastAsia="宋体" w:cs="宋体"/>
                <w:color w:val="1A1A1A"/>
                <w:kern w:val="0"/>
                <w:sz w:val="18"/>
                <w:szCs w:val="18"/>
              </w:rPr>
              <w:t>管理区及周边各县具有丰富的初级农产品资源：年产蔬菜230万吨，柑桔18万吨，柚子20万吨，柿子5万吨，梨4万吨，木薯10万吨，花生2.5万吨，南瓜16万吨，香芋5.6万吨，红薯10万吨，西瓜26万吨。及时调整产业结构，生产不断发展，农产品将大幅度增加，有充足的农产品提供深加工，原材料供应保障。因此，发展果蔬深加工产业有其充足的原料和广阔的市场前景。</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 xml:space="preserve">2、政府负责项目建设需要的水、电、路、通讯等基础设施配套建设。其中： </w:t>
            </w:r>
            <w:r>
              <w:rPr>
                <w:rFonts w:hint="eastAsia" w:ascii="宋体" w:hAnsi="宋体" w:eastAsia="宋体" w:cs="宋体"/>
                <w:color w:val="1A1A1A"/>
                <w:kern w:val="0"/>
                <w:sz w:val="18"/>
                <w:szCs w:val="18"/>
              </w:rPr>
              <w:br w:type="textWrapping"/>
            </w:r>
            <w:r>
              <w:rPr>
                <w:rFonts w:hint="eastAsia" w:ascii="宋体" w:hAnsi="宋体" w:eastAsia="宋体" w:cs="宋体"/>
                <w:color w:val="1A1A1A"/>
                <w:kern w:val="0"/>
                <w:sz w:val="18"/>
                <w:szCs w:val="18"/>
              </w:rPr>
              <w:t xml:space="preserve">     （1）土地：政府提供项目建设所需要的土地。 </w:t>
            </w:r>
            <w:r>
              <w:rPr>
                <w:rFonts w:hint="eastAsia" w:ascii="宋体" w:hAnsi="宋体" w:eastAsia="宋体" w:cs="宋体"/>
                <w:color w:val="1A1A1A"/>
                <w:kern w:val="0"/>
                <w:sz w:val="18"/>
                <w:szCs w:val="18"/>
              </w:rPr>
              <w:br w:type="textWrapping"/>
            </w:r>
            <w:r>
              <w:rPr>
                <w:rFonts w:hint="eastAsia" w:ascii="宋体" w:hAnsi="宋体" w:eastAsia="宋体" w:cs="宋体"/>
                <w:color w:val="1A1A1A"/>
                <w:kern w:val="0"/>
                <w:sz w:val="18"/>
                <w:szCs w:val="18"/>
              </w:rPr>
              <w:t>      （2）供水：新建日产水量1万吨的自来水厂一个，将城区输水管道安装至项目区红线内5米处位置，水价按城区生活用水计算。 </w:t>
            </w:r>
            <w:r>
              <w:rPr>
                <w:rFonts w:hint="eastAsia" w:ascii="宋体" w:hAnsi="宋体" w:eastAsia="宋体" w:cs="宋体"/>
                <w:color w:val="1A1A1A"/>
                <w:kern w:val="0"/>
                <w:sz w:val="18"/>
                <w:szCs w:val="18"/>
              </w:rPr>
              <w:br w:type="textWrapping"/>
            </w:r>
            <w:r>
              <w:rPr>
                <w:rFonts w:hint="eastAsia" w:ascii="宋体" w:hAnsi="宋体" w:eastAsia="宋体" w:cs="宋体"/>
                <w:color w:val="1A1A1A"/>
                <w:kern w:val="0"/>
                <w:sz w:val="18"/>
                <w:szCs w:val="18"/>
              </w:rPr>
              <w:t>       （3）供电：新建35千伏变电站一座，将符合项目建设需要的供电电路接至项目区内。</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（4）通信：</w:t>
            </w:r>
            <w:r>
              <w:rPr>
                <w:rFonts w:hint="eastAsia" w:ascii="宋体" w:hAnsi="宋体" w:eastAsia="宋体" w:cs="宋体"/>
                <w:color w:val="1A1A1A"/>
                <w:kern w:val="0"/>
                <w:sz w:val="18"/>
                <w:szCs w:val="18"/>
                <w:lang w:val="en-US" w:eastAsia="zh-CN"/>
              </w:rPr>
              <w:t>xxx</w:t>
            </w:r>
            <w:r>
              <w:rPr>
                <w:rFonts w:hint="eastAsia" w:ascii="宋体" w:hAnsi="宋体" w:eastAsia="宋体" w:cs="宋体"/>
                <w:color w:val="1A1A1A"/>
                <w:kern w:val="0"/>
                <w:sz w:val="18"/>
                <w:szCs w:val="18"/>
              </w:rPr>
              <w:t>镇有邮政、电信中心，区内有移动、联通通讯基站，开通宽带互联网，移动、联通覆盖100%。</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01B1"/>
    <w:rsid w:val="005301B1"/>
    <w:rsid w:val="009375C2"/>
    <w:rsid w:val="0EF06381"/>
    <w:rsid w:val="51541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1995</Characters>
  <DocSecurity>0</DocSecurity>
  <Lines>16</Lines>
  <Paragraphs>4</Paragraphs>
  <ScaleCrop>false</ScaleCrop>
  <LinksUpToDate>false</LinksUpToDate>
  <CharactersWithSpaces>2340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2011-07-09T04:43:00Z</dcterms:created>
  <dcterms:modified xsi:type="dcterms:W3CDTF">2020-05-26T02:30:59Z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