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AD093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151765</wp:posOffset>
                </wp:positionV>
                <wp:extent cx="7601585" cy="1042670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01585" cy="10426700"/>
                          <a:chOff x="0" y="0"/>
                          <a:chExt cx="7601803" cy="10426889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封面素材\城市素材5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duotone>
                              <a:srgbClr val="4BACC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4889"/>
                            <a:ext cx="7601803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13648" y="176056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0939" w:rsidRPr="004D19C4" w:rsidP="001C3832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70C0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0070C0"/>
                                  <w:sz w:val="124"/>
                                  <w:szCs w:val="124"/>
                                </w:rPr>
                                <w:t>经典的购销合同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296538" y="0"/>
                            <a:ext cx="5470525" cy="129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0939" w:rsidRPr="004D19C4" w:rsidP="001C3832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52"/>
                                </w:rPr>
                              </w:pPr>
                              <w:r w:rsidRPr="004D19C4"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AD0939" w:rsidRPr="004D19C4" w:rsidP="001C3832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70C0"/>
                                  <w:sz w:val="44"/>
                                </w:rPr>
                              </w:pPr>
                              <w:r w:rsidRPr="004D19C4">
                                <w:rPr>
                                  <w:rFonts w:ascii="微软雅黑" w:eastAsia="微软雅黑" w:hAnsi="微软雅黑"/>
                                  <w:color w:val="0070C0"/>
                                  <w:sz w:val="40"/>
                                </w:rPr>
                                <w:t xml:space="preserve">Latest and most complete </w:t>
                              </w:r>
                              <w:r w:rsidRPr="004D19C4">
                                <w:rPr>
                                  <w:rFonts w:ascii="微软雅黑" w:eastAsia="微软雅黑" w:hAnsi="微软雅黑"/>
                                  <w:color w:val="0070C0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5" style="width:598.55pt;height:821pt;margin-top:11.95pt;margin-left:-91.05pt;position:absolute;z-index:251659264" coordsize="76018,104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6018;height:45720;mso-wrap-style:square;position:absolute;top:58548;visibility:visible">
                  <v:imagedata r:id="rId4" o:title="城市素材5" recolortarget="#22809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5517;height:38783;left:136;mso-wrap-style:square;position:absolute;top:17605;visibility:visible;v-text-anchor:middle" filled="f" stroked="f" strokeweight="0.5pt">
                  <v:textbox>
                    <w:txbxContent>
                      <w:p w:rsidR="00AD0939" w:rsidRPr="004D19C4" w:rsidP="001C3832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70C0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0070C0"/>
                            <w:sz w:val="124"/>
                            <w:szCs w:val="124"/>
                          </w:rPr>
                          <w:t>经典的购销合同</w:t>
                        </w:r>
                      </w:p>
                    </w:txbxContent>
                  </v:textbox>
                </v:shape>
                <v:shape id="文本框 4" o:spid="_x0000_s1028" type="#_x0000_t202" style="width:54705;height:12922;left:12965;mso-wrap-style:square;position:absolute;visibility:visible;v-text-anchor:top" filled="f" stroked="f" strokeweight="0.5pt">
                  <v:textbox>
                    <w:txbxContent>
                      <w:p w:rsidR="00AD0939" w:rsidRPr="004D19C4" w:rsidP="001C3832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52"/>
                          </w:rPr>
                        </w:pPr>
                        <w:r w:rsidRPr="004D19C4">
                          <w:rPr>
                            <w:rFonts w:ascii="微软雅黑" w:eastAsia="微软雅黑" w:hAnsi="微软雅黑" w:hint="eastAsia"/>
                            <w:b/>
                            <w:color w:val="0070C0"/>
                            <w:sz w:val="52"/>
                          </w:rPr>
                          <w:t>最新最全合同模板集合</w:t>
                        </w:r>
                      </w:p>
                      <w:p w:rsidR="00AD0939" w:rsidRPr="004D19C4" w:rsidP="001C3832">
                        <w:pPr>
                          <w:jc w:val="center"/>
                          <w:rPr>
                            <w:rFonts w:ascii="微软雅黑" w:eastAsia="微软雅黑" w:hAnsi="微软雅黑"/>
                            <w:color w:val="0070C0"/>
                            <w:sz w:val="44"/>
                          </w:rPr>
                        </w:pPr>
                        <w:r w:rsidRPr="004D19C4">
                          <w:rPr>
                            <w:rFonts w:ascii="微软雅黑" w:eastAsia="微软雅黑" w:hAnsi="微软雅黑"/>
                            <w:color w:val="0070C0"/>
                            <w:sz w:val="40"/>
                          </w:rPr>
                          <w:t xml:space="preserve">Latest and most complete </w:t>
                        </w:r>
                        <w:r w:rsidRPr="004D19C4">
                          <w:rPr>
                            <w:rFonts w:ascii="微软雅黑" w:eastAsia="微软雅黑" w:hAnsi="微软雅黑"/>
                            <w:color w:val="0070C0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AD0939"/>
    <w:p w:rsidR="005B4A1D" w:rsidRPr="003D1441" w:rsidP="003D1441">
      <w:pPr>
        <w:pStyle w:val="PlainText"/>
        <w:spacing w:before="62" w:beforeLines="20" w:after="468" w:afterLines="150"/>
        <w:jc w:val="center"/>
        <w:rPr>
          <w:rFonts w:ascii="黑体" w:eastAsia="黑体" w:hAnsi="黑体" w:cs="宋体"/>
          <w:b/>
          <w:sz w:val="48"/>
        </w:rPr>
      </w:pPr>
      <w:r w:rsidRPr="003D1441">
        <w:rPr>
          <w:rFonts w:ascii="黑体" w:eastAsia="黑体" w:hAnsi="黑体" w:cs="宋体" w:hint="eastAsia"/>
          <w:b/>
          <w:sz w:val="48"/>
        </w:rPr>
        <w:t>经典的购销合同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购货单位：__________________，以下简称甲方;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供货单位：__________________，以下简称乙方。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经甲乙双方充分协商，特订立本合同，以便共同遵守。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第一条 产品的名称、品种、规格和质量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1.产品的名称、品种、规格：__________________。(应注明产品的牌号或商标)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2.产品的技术标准(包括质量要求)，按下列第( )项执行：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(1)按国家标准执行;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(2)按部颁标准执行;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(3)由甲乙双方商定技术要求执行。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(在合同中必须写明执行的标准代号、编号和标准名称。对成套产品，合同中要明确规定附件的质量要求;对某些必须安装运转后才能发现内在质量缺陷的产品，除主管部门另有规定外，合同中应具体规定提出质量异议的条件和时间;实行抽样检验质量的产品，合同中应</w:t>
      </w:r>
      <w:r w:rsidRPr="003D1441">
        <w:rPr>
          <w:rFonts w:hAnsi="宋体" w:cs="宋体" w:hint="eastAsia"/>
          <w:sz w:val="28"/>
        </w:rPr>
        <w:t xml:space="preserve">注明采用的抽样标准或抽验方法和比例;在商定技术条件后需要封存样品的，应当由当事人双方共同封存，分别保管，作检验的依据。)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第二条 产品的数量和计量单位、计量方法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1.产品的数量：______________。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2.计量单位、计量方法：____________。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国家或主管部门有计量方法规定的，按国家或主管部门的规定执行;国家或主管部门无规定的，由甲乙双方商定。对机电设备，必要时应当在合同明确规定随主机的辅机、附件、配套的产品、易损耗备品、配件和安装修理工具等。对成套供应的产品，应当明确成套供应的范围，并提出成套供应清单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3.产品交货数量的正负尾差、合理磅差和在途自然减(增)量规定及计算方法：________________。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第三条 产品的包装标准和包装物的供应与回收______________。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(产品的包装，国家或业务主管部门有技术规定的，按技术规定执行;国家与业务主管部门无技术规定的，由甲乙双方商定。产品的包装物，除国家规定由甲方供应的以外，应由乙方负责供应。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第四条 产品的交货单位、交货方法、运输方式、到货地点(包</w:t>
      </w:r>
      <w:r w:rsidRPr="003D1441">
        <w:rPr>
          <w:rFonts w:hAnsi="宋体" w:cs="宋体" w:hint="eastAsia"/>
          <w:sz w:val="28"/>
        </w:rPr>
        <w:t xml:space="preserve">括专用线、码头)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1.产品的交货单位：________________。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2.交货方法，按下列第( )项执行：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(1)乙方送货;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(2)乙方代运(乙方代办运输，应充分考虑甲方的要求，商定合理的运输路线和运输工具);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(3)甲方自提自运。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3.运输方式：______________。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4.到货地点和接货单位(或接货人)________________。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甲方如要求变更到货地点或接货人，应在合同规定的交货期限(月份或季度)前40天通知乙方，以便乙方编月度要车(船)计划;必须由甲方派人押送的，应在合同明确规定;甲乙双方对产品的运输和装卸，应按有关规定与运输部门办理交换手续，作出记录，双方签字，明确甲、乙方和运输部门的责任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第五条 产品的交(提)货期限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(规定送货或代运的产品的交货日期，以甲方发运产品时承运部门签发的戳记日期为准，当事人另有约定者，从约定;合同规定甲方</w:t>
      </w:r>
      <w:r w:rsidRPr="003D1441">
        <w:rPr>
          <w:rFonts w:hAnsi="宋体" w:cs="宋体" w:hint="eastAsia"/>
          <w:sz w:val="28"/>
        </w:rPr>
        <w:t xml:space="preserve">自提产品的交货日期，以乙方按合同规定通知的提货日期为准。乙方的提货通知中，应给予甲方必要的途中时间，实际交货或提货日期早于或迟于合同规定的日期，应视为提前或逾期交货或提货。)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第六条 产品的价格与货款的结算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1.产品的价格，按下列第( )项执行：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(1)按甲乙双方的商定价格;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(2)按照订立合同时履行地的市场价格;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(3)按照国家定价履行。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执行国家定价的，在合同规定的交货或提货期内，遇国家调整价格时，按交货时的价格执行。逾期交货的，遇价格上涨时，按原价执行;遇价格下降时，按新价执行。逾期提货或逾期付款的，遇价格上涨时，按新价格执行;遇价格下降时，按原价执行。由于逾期付款而发生调整价格的差价，由甲乙双方另行结算，不在原托收结算金额中冲抵。执行浮动价和协商定价的，按合同规定的价格执行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2.产品货款的结算：产品的货款、实际支付的运杂费和其它费用的结算，按照中国人民银行结算办法的规定办理。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(用托收承付方式结算的，合同中应注明验单付款或验货付款。验货付款的承付期限一般为10天，从运输部门向收货单位发出提</w:t>
      </w:r>
      <w:r w:rsidRPr="003D1441">
        <w:rPr>
          <w:rFonts w:hAnsi="宋体" w:cs="宋体" w:hint="eastAsia"/>
          <w:sz w:val="28"/>
        </w:rPr>
        <w:t xml:space="preserve">货通知的次日起算。凡当事人在合同中约定缩短或延长验货期限的，应当在托收凭证上写明，银行从其规定。)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第七条 验收方法________________。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(合同应明确规定：1.验收时间;2.验收手段;3.验收标准;4.由谁负责验收和试验;5.在验收中发生纠纷后，由哪一级主管产品质量监督检查机构执行仲裁等等)。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第八条 对产品提出异议的时间和办法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甲方在验收中，如果发现产品的品种、型号、规格、花色和质量不合规定，应一面妥为保管，一面在30天内向乙方提出书面异议;在托收承付期内，甲方有权拒付不符合合同规定部分的货款。甲方怠于通知或者自标的物收到之日起过两年内未通知乙方的，视为产品合乎规定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2.甲方因使用、保管、保养不善等造成产品质量下降的，不得提出异议。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3.乙方在接到需方书面异议后，应在10天内(另有规定或当事人另行商定期限者除外)负责处理，否则，即视为默认甲方提出的异议和处理意见。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(甲方提出的书面异议中，应说明合同号、运单号、车或船号、发货和到货日期;说明不符合规定的产品名称、型号、规格、花色、标</w:t>
      </w:r>
      <w:r w:rsidRPr="003D1441">
        <w:rPr>
          <w:rFonts w:hAnsi="宋体" w:cs="宋体" w:hint="eastAsia"/>
          <w:sz w:val="28"/>
        </w:rPr>
        <w:t xml:space="preserve">志、牌号、批号、合格证或质量保证书号、数量、包装、检验方法、检验情况和检验证明;提出不符合规定的产品的处理意见，以及当事人双方商定的必须说明的事项。)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第九条 乙方的违约责任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1.乙方不能交货的，应向甲方偿付不能交货部分货款的______%的违约金。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 xml:space="preserve">　　2.乙方所交产品品种、型号、规格、花色、质量不符合规定的，如果甲方同意利用，应当按质论价;如果甲方不能利用的，应根据产品的具体情况，由乙方负责包换或包修，并承担修理、调换或退货而支付的实际费用。 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D1441">
        <w:rPr>
          <w:rFonts w:hAnsi="宋体" w:cs="宋体" w:hint="eastAsia"/>
          <w:sz w:val="28"/>
        </w:rPr>
        <w:t>　　3.乙方因产品包装不符合合同规定，必须返修或重新包装的，乙方应负责返修或重新包装，并承担支付的费用。甲方不要求返修或重新包装而要求赔偿损失的，乙方应当偿付甲方该不合格包装物低于合格包装物的价值部分。因包装不符合规定造成货物损坏或灭失的，乙方应当负责赔偿。</w:t>
      </w:r>
    </w:p>
    <w:p w:rsidR="005B4A1D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5B4A1D" w:rsidRPr="003D1441" w:rsidP="004A0CFB">
      <w:pPr>
        <w:pStyle w:val="PlainText"/>
        <w:spacing w:before="312" w:beforeLines="100"/>
        <w:jc w:val="left"/>
        <w:rPr>
          <w:rFonts w:hAnsi="宋体" w:cs="宋体"/>
          <w:sz w:val="28"/>
        </w:rPr>
      </w:pPr>
    </w:p>
    <w:p w:rsidR="00560DB5" w:rsidRPr="003D1441" w:rsidP="003D1441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 w:rsidSect="00560DB5">
      <w:footerReference w:type="even" r:id="rId5"/>
      <w:foot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1441" w:rsidP="00704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B5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1441" w:rsidP="00704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032">
      <w:rPr>
        <w:rStyle w:val="PageNumber"/>
        <w:noProof/>
      </w:rPr>
      <w:t>6</w:t>
    </w:r>
    <w:r>
      <w:rPr>
        <w:rStyle w:val="PageNumber"/>
      </w:rPr>
      <w:fldChar w:fldCharType="end"/>
    </w:r>
  </w:p>
  <w:p w:rsidR="004B561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C"/>
    <w:rsid w:val="001C3832"/>
    <w:rsid w:val="003D1441"/>
    <w:rsid w:val="0040068F"/>
    <w:rsid w:val="004A0CFB"/>
    <w:rsid w:val="004B561E"/>
    <w:rsid w:val="004B6032"/>
    <w:rsid w:val="004D19C4"/>
    <w:rsid w:val="00560DB5"/>
    <w:rsid w:val="005B4A1D"/>
    <w:rsid w:val="006D33BC"/>
    <w:rsid w:val="00704720"/>
    <w:rsid w:val="00886D4E"/>
    <w:rsid w:val="00A94789"/>
    <w:rsid w:val="00AD0939"/>
    <w:rsid w:val="00B475BA"/>
    <w:rsid w:val="00DF5916"/>
    <w:rsid w:val="00EF10CC"/>
    <w:rsid w:val="00F664F4"/>
    <w:rsid w:val="00F67FB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unhideWhenUsed/>
    <w:rsid w:val="00560DB5"/>
    <w:rPr>
      <w:rFonts w:ascii="宋体" w:hAnsi="Courier New" w:cs="Courier New"/>
      <w:szCs w:val="21"/>
    </w:rPr>
  </w:style>
  <w:style w:type="character" w:customStyle="1" w:styleId="Char">
    <w:name w:val="纯文本 Char"/>
    <w:link w:val="PlainText"/>
    <w:uiPriority w:val="99"/>
    <w:rsid w:val="00560DB5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Char0"/>
    <w:uiPriority w:val="99"/>
    <w:unhideWhenUsed/>
    <w:rsid w:val="004B561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Header"/>
    <w:uiPriority w:val="99"/>
    <w:rsid w:val="004B561E"/>
    <w:rPr>
      <w:kern w:val="2"/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4B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Footer"/>
    <w:uiPriority w:val="99"/>
    <w:rsid w:val="004B561E"/>
    <w:rPr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3D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